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ca-earnings-predictions--2026-07-24"/>
    <w:p>
      <w:pPr>
        <w:pStyle w:val="Heading1"/>
      </w:pPr>
      <w:r>
        <w:t xml:space="preserve">HCA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20.23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19.45B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7.59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7.46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~19.9% vs. cons ~20.6%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~$29.60 (mid of</w:t>
            </w:r>
            <w:r>
              <w:t xml:space="preserve"> </w:t>
            </w:r>
            <m:oMath>
              <m:r>
                <m:t>28.70</m:t>
              </m:r>
              <m:r>
                <m:rPr>
                  <m:sty m:val="p"/>
                </m:rPr>
                <m:t>−</m:t>
              </m:r>
              <m:r>
                <m:t>30.50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29.65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~$15.75B (mid of</w:t>
            </w:r>
            <w:r>
              <w:t xml:space="preserve"> </w:t>
            </w:r>
            <m:oMath>
              <m:r>
                <m:t>15.4</m:t>
              </m:r>
              <m:r>
                <m:rPr>
                  <m:sty m:val="p"/>
                </m:rPr>
                <m:t>−</m:t>
              </m:r>
              <m:r>
                <m:t>16.1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15.7B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ACA Exchange Headwind Assumption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~$1.1B (mid of</w:t>
            </w:r>
            <w:r>
              <w:t xml:space="preserve"> </w:t>
            </w:r>
            <m:oMath>
              <m:r>
                <m:t>1.0</m:t>
              </m:r>
              <m:r>
                <m:rPr>
                  <m:sty m:val="p"/>
                </m:rPr>
                <m:t>−</m:t>
              </m:r>
              <m:r>
                <m:t>1.2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1.1B already reset post-preannouncement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(FADE)</w:t>
            </w:r>
          </w:p>
        </w:tc>
        <w:tc>
          <w:tcPr/>
          <w:p>
            <w:pPr>
              <w:pStyle w:val="Compact"/>
            </w:pPr>
            <w:r>
              <w:t xml:space="preserve">With Q2 details and FY26 guidance already pre-announced on 7/14 (stock already down ~9%, consensus already reset), the call itself offers limited fresh surprise on the already-known numbers, so day-1 move should be muted/slightly positive on relief that nothing worse emerged. But over the following days, incremental color on the 2027 ACA exchange cliff (full EPTC expiration, no offsetting one-time Medicaid SPP catch-up expected to recur) likely prompts sell-side analysts to trim out-year (FY27) EPS estimates and price targets even without a fresh Q2 miss, producing a mild fade as the 'temporal vs. structural' debate tilts more structural in models.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2026-07-24T00:13:54Z</dcterms:created>
  <dcterms:modified xsi:type="dcterms:W3CDTF">2026-07-24T00:13:54Z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