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hca-healthcare-q2-2026-earnings-preview"/>
    <w:p>
      <w:pPr>
        <w:pStyle w:val="Heading1"/>
      </w:pPr>
      <w:r>
        <w:t xml:space="preserve">HCA Healthcare: Q2 2026 Earnings Preview</w:t>
      </w:r>
    </w:p>
    <w:p>
      <w:pPr>
        <w:pStyle w:val="BlockText"/>
      </w:pPr>
      <w:r>
        <w:rPr>
          <w:b/>
          <w:bCs/>
        </w:rPr>
        <w:t xml:space="preserve">Timing note:</w:t>
      </w:r>
      <w:r>
        <w:t xml:space="preserve"> </w:t>
      </w:r>
      <w:r>
        <w:t xml:space="preserve">HCA’s Q2 call is scheduled for</w:t>
      </w:r>
      <w:r>
        <w:t xml:space="preserve"> </w:t>
      </w:r>
      <w:r>
        <w:rPr>
          <w:b/>
          <w:bCs/>
        </w:rPr>
        <w:t xml:space="preserve">today, Friday, July 24, 2026, at 9:00 a.m. Central / 10:00 a.m. Eastern—not tomorrow.</w:t>
      </w:r>
      <w:r>
        <w:t xml:space="preserve"> </w:t>
      </w:r>
      <w:r>
        <w:t xml:space="preserve">The company already preannounced preliminary results and revised guidance on July 14, so the call’s commentary will matter considerably more than the headline numbers. (</w:t>
      </w:r>
      <w:hyperlink r:id="rId9">
        <w:r>
          <w:rPr>
            <w:rStyle w:val="Hyperlink"/>
          </w:rPr>
          <w:t xml:space="preserve">investor.hcahealthcare.com</w:t>
        </w:r>
      </w:hyperlink>
      <w:r>
        <w:t xml:space="preserve">)</w:t>
      </w:r>
    </w:p>
    <w:bookmarkStart w:id="10" w:name="investment-view-going-into-the-call"/>
    <w:p>
      <w:pPr>
        <w:pStyle w:val="Heading2"/>
      </w:pPr>
      <w:r>
        <w:t xml:space="preserve">Investment view going into the call</w:t>
      </w:r>
    </w:p>
    <w:p>
      <w:pPr>
        <w:pStyle w:val="FirstParagraph"/>
      </w:pPr>
      <w:r>
        <w:t xml:space="preserve">HCA’s preliminary Q2 results were superficially strong: revenue and EPS exceeded prior Wall Street expectations, admissions accelerated, and emergency-room traffic remained healthy. But the</w:t>
      </w:r>
      <w:r>
        <w:t xml:space="preserve"> </w:t>
      </w:r>
      <w:r>
        <w:rPr>
          <w:b/>
          <w:bCs/>
        </w:rPr>
        <w:t xml:space="preserve">quality of earnings deteriorated</w:t>
      </w:r>
      <w:r>
        <w:t xml:space="preserve">.</w:t>
      </w:r>
    </w:p>
    <w:p>
      <w:pPr>
        <w:pStyle w:val="BodyText"/>
      </w:pPr>
      <w:r>
        <w:t xml:space="preserve">The expiration of enhanced exchange subsidies and related administrative changes are producing more uninsured patients than HCA initially modeled. At the same time, surgical volumes—generally higher-value activity—declined. A large, largely retrospective Florida Medicaid supplemental-payment benefit helped offset these pressures, but adjusted EBITDA margin still contracted.</w:t>
      </w:r>
    </w:p>
    <w:p>
      <w:pPr>
        <w:pStyle w:val="BodyText"/>
      </w:pPr>
      <w:r>
        <w:t xml:space="preserve">Consequently, investors already know most of the quarter’s numbers. The important questions are now:</w:t>
      </w:r>
    </w:p>
    <w:p>
      <w:pPr>
        <w:pStyle w:val="Compact"/>
        <w:numPr>
          <w:ilvl w:val="0"/>
          <w:numId w:val="1001"/>
        </w:numPr>
      </w:pPr>
      <w:r>
        <w:rPr>
          <w:b/>
          <w:bCs/>
        </w:rPr>
        <w:t xml:space="preserve">Has the exchange-related payer-mix deterioration stabilized?</w:t>
      </w:r>
    </w:p>
    <w:p>
      <w:pPr>
        <w:pStyle w:val="Compact"/>
        <w:numPr>
          <w:ilvl w:val="0"/>
          <w:numId w:val="1001"/>
        </w:numPr>
      </w:pPr>
      <w:r>
        <w:rPr>
          <w:b/>
          <w:bCs/>
        </w:rPr>
        <w:t xml:space="preserve">Is the decline in surgical volume temporary or connected to insurance losses?</w:t>
      </w:r>
    </w:p>
    <w:p>
      <w:pPr>
        <w:pStyle w:val="Compact"/>
        <w:numPr>
          <w:ilvl w:val="0"/>
          <w:numId w:val="1001"/>
        </w:numPr>
      </w:pPr>
      <w:r>
        <w:rPr>
          <w:b/>
          <w:bCs/>
        </w:rPr>
        <w:t xml:space="preserve">How much of Q2’s Medicaid benefit is repeatable?</w:t>
      </w:r>
    </w:p>
    <w:p>
      <w:pPr>
        <w:pStyle w:val="Compact"/>
        <w:numPr>
          <w:ilvl w:val="0"/>
          <w:numId w:val="1001"/>
        </w:numPr>
      </w:pPr>
      <w:r>
        <w:rPr>
          <w:b/>
          <w:bCs/>
        </w:rPr>
        <w:t xml:space="preserve">Can HCA protect margins and deliver the revised full-year outlook without another cut?</w:t>
      </w:r>
    </w:p>
    <w:p>
      <w:pPr>
        <w:pStyle w:val="Compact"/>
        <w:numPr>
          <w:ilvl w:val="0"/>
          <w:numId w:val="1001"/>
        </w:numPr>
      </w:pPr>
      <w:r>
        <w:rPr>
          <w:b/>
          <w:bCs/>
        </w:rPr>
        <w:t xml:space="preserve">What do the current trends imply for the 2027 earnings baseline?</w:t>
      </w:r>
    </w:p>
    <w:bookmarkEnd w:id="10"/>
    <w:bookmarkStart w:id="12" w:name="what-hca-has-already-disclosed"/>
    <w:p>
      <w:pPr>
        <w:pStyle w:val="Heading2"/>
      </w:pPr>
      <w:r>
        <w:t xml:space="preserve">What HCA has already disclosed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metric</w:t>
            </w:r>
          </w:p>
        </w:tc>
        <w:tc>
          <w:tcPr/>
          <w:p>
            <w:pPr>
              <w:pStyle w:val="Compact"/>
              <w:jc w:val="right"/>
            </w:pPr>
            <w:r>
              <w:t xml:space="preserve">Preliminary Q2 2026</w:t>
            </w:r>
          </w:p>
        </w:tc>
        <w:tc>
          <w:tcPr/>
          <w:p>
            <w:pPr>
              <w:pStyle w:val="Compact"/>
              <w:jc w:val="right"/>
            </w:pPr>
            <w:r>
              <w:t xml:space="preserve">Q2 2025</w:t>
            </w:r>
          </w:p>
        </w:tc>
        <w:tc>
          <w:tcPr/>
          <w:p>
            <w:pPr>
              <w:pStyle w:val="Compact"/>
              <w:jc w:val="right"/>
            </w:pPr>
            <w:r>
              <w:t xml:space="preserve">Change</w:t>
            </w:r>
          </w:p>
        </w:tc>
      </w:tr>
      <w:tr>
        <w:tc>
          <w:tcPr/>
          <w:p>
            <w:pPr>
              <w:pStyle w:val="Compact"/>
            </w:pPr>
            <w:r>
              <w:t xml:space="preserve">Revenue</w:t>
            </w:r>
          </w:p>
        </w:tc>
        <w:tc>
          <w:tcPr/>
          <w:p>
            <w:pPr>
              <w:pStyle w:val="Compact"/>
              <w:jc w:val="right"/>
            </w:pPr>
            <w:r>
              <w:t xml:space="preserve">$20.230B</w:t>
            </w:r>
          </w:p>
        </w:tc>
        <w:tc>
          <w:tcPr/>
          <w:p>
            <w:pPr>
              <w:pStyle w:val="Compact"/>
              <w:jc w:val="right"/>
            </w:pPr>
            <w:r>
              <w:t xml:space="preserve">$18.605B</w:t>
            </w:r>
          </w:p>
        </w:tc>
        <w:tc>
          <w:tcPr/>
          <w:p>
            <w:pPr>
              <w:pStyle w:val="Compact"/>
              <w:jc w:val="right"/>
            </w:pPr>
            <w:r>
              <w:rPr>
                <w:b/>
                <w:bCs/>
              </w:rPr>
              <w:t xml:space="preserve">+8.7%</w:t>
            </w:r>
          </w:p>
        </w:tc>
      </w:tr>
      <w:tr>
        <w:tc>
          <w:tcPr/>
          <w:p>
            <w:pPr>
              <w:pStyle w:val="Compact"/>
            </w:pPr>
            <w:r>
              <w:t xml:space="preserve">Net income attributable to HCA</w:t>
            </w:r>
          </w:p>
        </w:tc>
        <w:tc>
          <w:tcPr/>
          <w:p>
            <w:pPr>
              <w:pStyle w:val="Compact"/>
              <w:jc w:val="right"/>
            </w:pPr>
            <w:r>
              <w:t xml:space="preserve">$1.699B</w:t>
            </w:r>
          </w:p>
        </w:tc>
        <w:tc>
          <w:tcPr/>
          <w:p>
            <w:pPr>
              <w:pStyle w:val="Compact"/>
              <w:jc w:val="right"/>
            </w:pPr>
            <w:r>
              <w:t xml:space="preserve">$1.653B</w:t>
            </w:r>
          </w:p>
        </w:tc>
        <w:tc>
          <w:tcPr/>
          <w:p>
            <w:pPr>
              <w:pStyle w:val="Compact"/>
              <w:jc w:val="right"/>
            </w:pPr>
            <w:r>
              <w:rPr>
                <w:b/>
                <w:bCs/>
              </w:rPr>
              <w:t xml:space="preserve">+2.8%</w:t>
            </w:r>
          </w:p>
        </w:tc>
      </w:tr>
      <w:tr>
        <w:tc>
          <w:tcPr/>
          <w:p>
            <w:pPr>
              <w:pStyle w:val="Compact"/>
            </w:pPr>
            <w:r>
              <w:t xml:space="preserve">Diluted EPS</w:t>
            </w:r>
          </w:p>
        </w:tc>
        <w:tc>
          <w:tcPr/>
          <w:p>
            <w:pPr>
              <w:pStyle w:val="Compact"/>
              <w:jc w:val="right"/>
            </w:pPr>
            <w:r>
              <w:t xml:space="preserve">$7.62</w:t>
            </w:r>
          </w:p>
        </w:tc>
        <w:tc>
          <w:tcPr/>
          <w:p>
            <w:pPr>
              <w:pStyle w:val="Compact"/>
              <w:jc w:val="right"/>
            </w:pPr>
            <w:r>
              <w:t xml:space="preserve">$6.83</w:t>
            </w:r>
          </w:p>
        </w:tc>
        <w:tc>
          <w:tcPr/>
          <w:p>
            <w:pPr>
              <w:pStyle w:val="Compact"/>
              <w:jc w:val="right"/>
            </w:pPr>
            <w:r>
              <w:rPr>
                <w:b/>
                <w:bCs/>
              </w:rPr>
              <w:t xml:space="preserve">+11.6%</w:t>
            </w:r>
          </w:p>
        </w:tc>
      </w:tr>
      <w:tr>
        <w:tc>
          <w:tcPr/>
          <w:p>
            <w:pPr>
              <w:pStyle w:val="Compact"/>
            </w:pPr>
            <w:r>
              <w:t xml:space="preserve">Adjusted EBITDA</w:t>
            </w:r>
          </w:p>
        </w:tc>
        <w:tc>
          <w:tcPr/>
          <w:p>
            <w:pPr>
              <w:pStyle w:val="Compact"/>
              <w:jc w:val="right"/>
            </w:pPr>
            <w:r>
              <w:t xml:space="preserve">$4.027B</w:t>
            </w:r>
          </w:p>
        </w:tc>
        <w:tc>
          <w:tcPr/>
          <w:p>
            <w:pPr>
              <w:pStyle w:val="Compact"/>
              <w:jc w:val="right"/>
            </w:pPr>
            <w:r>
              <w:t xml:space="preserve">$3.849B</w:t>
            </w:r>
          </w:p>
        </w:tc>
        <w:tc>
          <w:tcPr/>
          <w:p>
            <w:pPr>
              <w:pStyle w:val="Compact"/>
              <w:jc w:val="right"/>
            </w:pPr>
            <w:r>
              <w:rPr>
                <w:b/>
                <w:bCs/>
              </w:rPr>
              <w:t xml:space="preserve">+4.6%</w:t>
            </w:r>
          </w:p>
        </w:tc>
      </w:tr>
      <w:tr>
        <w:tc>
          <w:tcPr/>
          <w:p>
            <w:pPr>
              <w:pStyle w:val="Compact"/>
            </w:pPr>
            <w:r>
              <w:t xml:space="preserve">Adjusted EBITDA margin</w:t>
            </w:r>
          </w:p>
        </w:tc>
        <w:tc>
          <w:tcPr/>
          <w:p>
            <w:pPr>
              <w:pStyle w:val="Compact"/>
              <w:jc w:val="right"/>
            </w:pPr>
            <w:r>
              <w:t xml:space="preserve">19.9%</w:t>
            </w:r>
          </w:p>
        </w:tc>
        <w:tc>
          <w:tcPr/>
          <w:p>
            <w:pPr>
              <w:pStyle w:val="Compact"/>
              <w:jc w:val="right"/>
            </w:pPr>
            <w:r>
              <w:t xml:space="preserve">20.7%</w:t>
            </w:r>
          </w:p>
        </w:tc>
        <w:tc>
          <w:tcPr/>
          <w:p>
            <w:pPr>
              <w:pStyle w:val="Compact"/>
              <w:jc w:val="right"/>
            </w:pPr>
            <w:r>
              <w:rPr>
                <w:b/>
                <w:bCs/>
              </w:rPr>
              <w:t xml:space="preserve">-80 bps</w:t>
            </w:r>
          </w:p>
        </w:tc>
      </w:tr>
      <w:tr>
        <w:tc>
          <w:tcPr/>
          <w:p>
            <w:pPr>
              <w:pStyle w:val="Compact"/>
            </w:pPr>
            <w:r>
              <w:t xml:space="preserve">Same-facility admissions</w:t>
            </w:r>
          </w:p>
        </w:tc>
        <w:tc>
          <w:tcPr/>
          <w:p>
            <w:pPr>
              <w:pStyle w:val="Compact"/>
              <w:jc w:val="right"/>
            </w:pPr>
            <w:r>
              <w:t xml:space="preserve">—</w:t>
            </w:r>
          </w:p>
        </w:tc>
        <w:tc>
          <w:tcPr/>
          <w:p>
            <w:pPr>
              <w:pStyle w:val="Compact"/>
              <w:jc w:val="right"/>
            </w:pPr>
            <w:r>
              <w:t xml:space="preserve">—</w:t>
            </w:r>
          </w:p>
        </w:tc>
        <w:tc>
          <w:tcPr/>
          <w:p>
            <w:pPr>
              <w:pStyle w:val="Compact"/>
              <w:jc w:val="right"/>
            </w:pPr>
            <w:r>
              <w:rPr>
                <w:b/>
                <w:bCs/>
              </w:rPr>
              <w:t xml:space="preserve">+2.5%</w:t>
            </w:r>
          </w:p>
        </w:tc>
      </w:tr>
      <w:tr>
        <w:tc>
          <w:tcPr/>
          <w:p>
            <w:pPr>
              <w:pStyle w:val="Compact"/>
            </w:pPr>
            <w:r>
              <w:t xml:space="preserve">Equivalent admissions</w:t>
            </w:r>
          </w:p>
        </w:tc>
        <w:tc>
          <w:tcPr/>
          <w:p>
            <w:pPr>
              <w:pStyle w:val="Compact"/>
              <w:jc w:val="right"/>
            </w:pPr>
            <w:r>
              <w:t xml:space="preserve">—</w:t>
            </w:r>
          </w:p>
        </w:tc>
        <w:tc>
          <w:tcPr/>
          <w:p>
            <w:pPr>
              <w:pStyle w:val="Compact"/>
              <w:jc w:val="right"/>
            </w:pPr>
            <w:r>
              <w:t xml:space="preserve">—</w:t>
            </w:r>
          </w:p>
        </w:tc>
        <w:tc>
          <w:tcPr/>
          <w:p>
            <w:pPr>
              <w:pStyle w:val="Compact"/>
              <w:jc w:val="right"/>
            </w:pPr>
            <w:r>
              <w:rPr>
                <w:b/>
                <w:bCs/>
              </w:rPr>
              <w:t xml:space="preserve">+2.7%</w:t>
            </w:r>
          </w:p>
        </w:tc>
      </w:tr>
      <w:tr>
        <w:tc>
          <w:tcPr/>
          <w:p>
            <w:pPr>
              <w:pStyle w:val="Compact"/>
            </w:pPr>
            <w:r>
              <w:t xml:space="preserve">ER visits</w:t>
            </w:r>
          </w:p>
        </w:tc>
        <w:tc>
          <w:tcPr/>
          <w:p>
            <w:pPr>
              <w:pStyle w:val="Compact"/>
              <w:jc w:val="right"/>
            </w:pPr>
            <w:r>
              <w:t xml:space="preserve">—</w:t>
            </w:r>
          </w:p>
        </w:tc>
        <w:tc>
          <w:tcPr/>
          <w:p>
            <w:pPr>
              <w:pStyle w:val="Compact"/>
              <w:jc w:val="right"/>
            </w:pPr>
            <w:r>
              <w:t xml:space="preserve">—</w:t>
            </w:r>
          </w:p>
        </w:tc>
        <w:tc>
          <w:tcPr/>
          <w:p>
            <w:pPr>
              <w:pStyle w:val="Compact"/>
              <w:jc w:val="right"/>
            </w:pPr>
            <w:r>
              <w:rPr>
                <w:b/>
                <w:bCs/>
              </w:rPr>
              <w:t xml:space="preserve">+3.6%</w:t>
            </w:r>
          </w:p>
        </w:tc>
      </w:tr>
      <w:tr>
        <w:tc>
          <w:tcPr/>
          <w:p>
            <w:pPr>
              <w:pStyle w:val="Compact"/>
            </w:pPr>
            <w:r>
              <w:t xml:space="preserve">Inpatient surgeries</w:t>
            </w:r>
          </w:p>
        </w:tc>
        <w:tc>
          <w:tcPr/>
          <w:p>
            <w:pPr>
              <w:pStyle w:val="Compact"/>
              <w:jc w:val="right"/>
            </w:pPr>
            <w:r>
              <w:t xml:space="preserve">—</w:t>
            </w:r>
          </w:p>
        </w:tc>
        <w:tc>
          <w:tcPr/>
          <w:p>
            <w:pPr>
              <w:pStyle w:val="Compact"/>
              <w:jc w:val="right"/>
            </w:pPr>
            <w:r>
              <w:t xml:space="preserve">—</w:t>
            </w:r>
          </w:p>
        </w:tc>
        <w:tc>
          <w:tcPr/>
          <w:p>
            <w:pPr>
              <w:pStyle w:val="Compact"/>
              <w:jc w:val="right"/>
            </w:pPr>
            <w:r>
              <w:rPr>
                <w:b/>
                <w:bCs/>
              </w:rPr>
              <w:t xml:space="preserve">-2.3%</w:t>
            </w:r>
          </w:p>
        </w:tc>
      </w:tr>
      <w:tr>
        <w:tc>
          <w:tcPr/>
          <w:p>
            <w:pPr>
              <w:pStyle w:val="Compact"/>
            </w:pPr>
            <w:r>
              <w:t xml:space="preserve">Outpatient surgeries</w:t>
            </w:r>
          </w:p>
        </w:tc>
        <w:tc>
          <w:tcPr/>
          <w:p>
            <w:pPr>
              <w:pStyle w:val="Compact"/>
              <w:jc w:val="right"/>
            </w:pPr>
            <w:r>
              <w:t xml:space="preserve">—</w:t>
            </w:r>
          </w:p>
        </w:tc>
        <w:tc>
          <w:tcPr/>
          <w:p>
            <w:pPr>
              <w:pStyle w:val="Compact"/>
              <w:jc w:val="right"/>
            </w:pPr>
            <w:r>
              <w:t xml:space="preserve">—</w:t>
            </w:r>
          </w:p>
        </w:tc>
        <w:tc>
          <w:tcPr/>
          <w:p>
            <w:pPr>
              <w:pStyle w:val="Compact"/>
              <w:jc w:val="right"/>
            </w:pPr>
            <w:r>
              <w:rPr>
                <w:b/>
                <w:bCs/>
              </w:rPr>
              <w:t xml:space="preserve">-3.4%</w:t>
            </w:r>
          </w:p>
        </w:tc>
      </w:tr>
    </w:tbl>
    <w:p>
      <w:pPr>
        <w:pStyle w:val="BodyText"/>
      </w:pPr>
      <w:r>
        <w:t xml:space="preserve">The preliminary revenue of $20.23 billion was above the roughly $19.43 billion analyst average cited by Reuters, while preliminary EPS of $7.62 was also ahead of expectations. Nevertheless, the guidance reduction and worsening payer mix overshadowed the headline beat. (</w:t>
      </w:r>
      <w:hyperlink r:id="rId9">
        <w:r>
          <w:rPr>
            <w:rStyle w:val="Hyperlink"/>
          </w:rPr>
          <w:t xml:space="preserve">investor.hcahealthcare.com</w:t>
        </w:r>
      </w:hyperlink>
      <w:r>
        <w:t xml:space="preserve">)</w:t>
      </w:r>
    </w:p>
    <w:bookmarkStart w:id="11" w:name="the-eps-growth-requires-context"/>
    <w:p>
      <w:pPr>
        <w:pStyle w:val="Heading3"/>
      </w:pPr>
      <w:r>
        <w:t xml:space="preserve">The EPS growth requires context</w:t>
      </w:r>
    </w:p>
    <w:p>
      <w:pPr>
        <w:pStyle w:val="FirstParagraph"/>
      </w:pPr>
      <w:r>
        <w:t xml:space="preserve">EPS increased almost 12%, but net income grew less than 3%. Diluted shares declined approximately</w:t>
      </w:r>
      <w:r>
        <w:t xml:space="preserve"> </w:t>
      </w:r>
      <w:r>
        <w:rPr>
          <w:b/>
          <w:bCs/>
        </w:rPr>
        <w:t xml:space="preserve">7.9% year over year</w:t>
      </w:r>
      <w:r>
        <w:t xml:space="preserve">, to 222.8 million, meaning repurchases supplied most of the gap between net-income and EPS growth.</w:t>
      </w:r>
    </w:p>
    <w:p>
      <w:pPr>
        <w:pStyle w:val="BodyText"/>
      </w:pPr>
      <w:r>
        <w:t xml:space="preserve">That is not inherently negative—HCA has historically generated substantial cash and returned capital aggressively—but investors should distinguish</w:t>
      </w:r>
      <w:r>
        <w:t xml:space="preserve"> </w:t>
      </w:r>
      <w:r>
        <w:rPr>
          <w:b/>
          <w:bCs/>
        </w:rPr>
        <w:t xml:space="preserve">per-share accretion from underlying operating growth</w:t>
      </w:r>
      <w:r>
        <w:t xml:space="preserve">.</w:t>
      </w:r>
    </w:p>
    <w:bookmarkEnd w:id="11"/>
    <w:bookmarkEnd w:id="12"/>
    <w:bookmarkStart w:id="15" w:name="Xd0379b85163e7af78bafe2854bc39f1ca5d6419"/>
    <w:p>
      <w:pPr>
        <w:pStyle w:val="Heading2"/>
      </w:pPr>
      <w:r>
        <w:t xml:space="preserve">The central issue: exchange losses are worse than expected</w:t>
      </w:r>
    </w:p>
    <w:p>
      <w:pPr>
        <w:pStyle w:val="FirstParagraph"/>
      </w:pPr>
      <w:r>
        <w:t xml:space="preserve">HCA estimates that the shift toward uninsured patients reduced Q2 pretax income by approximately</w:t>
      </w:r>
      <w:r>
        <w:t xml:space="preserve"> </w:t>
      </w:r>
      <w:r>
        <w:rPr>
          <w:b/>
          <w:bCs/>
        </w:rPr>
        <w:t xml:space="preserve">$400 million</w:t>
      </w:r>
      <w:r>
        <w:t xml:space="preserve">. That figure includes a $75 million upward revision to the company’s previous estimate of the Q1 impact.</w:t>
      </w:r>
    </w:p>
    <w:p>
      <w:pPr>
        <w:pStyle w:val="BodyText"/>
      </w:pPr>
      <w:r>
        <w:t xml:space="preserve">HCA consequently raised its estimated full-year exchange-related headwind: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exchange impact</w:t>
            </w:r>
          </w:p>
        </w:tc>
        <w:tc>
          <w:tcPr/>
          <w:p>
            <w:pPr>
              <w:pStyle w:val="Compact"/>
              <w:jc w:val="right"/>
            </w:pPr>
            <w:r>
              <w:t xml:space="preserve">Previous estimate</w:t>
            </w:r>
          </w:p>
        </w:tc>
        <w:tc>
          <w:tcPr/>
          <w:p>
            <w:pPr>
              <w:pStyle w:val="Compact"/>
              <w:jc w:val="right"/>
            </w:pPr>
            <w:r>
              <w:t xml:space="preserve">Revised estimate</w:t>
            </w:r>
          </w:p>
        </w:tc>
      </w:tr>
      <w:tr>
        <w:tc>
          <w:tcPr/>
          <w:p>
            <w:pPr>
              <w:pStyle w:val="Compact"/>
            </w:pPr>
            <w:r>
              <w:t xml:space="preserve">Unfavorable pretax impact</w:t>
            </w:r>
          </w:p>
        </w:tc>
        <w:tc>
          <w:tcPr/>
          <w:p>
            <w:pPr>
              <w:pStyle w:val="Compact"/>
              <w:jc w:val="right"/>
            </w:pPr>
            <m:oMath>
              <m:r>
                <m:rPr>
                  <m:sty m:val="p"/>
                </m:rPr>
                <m:t>(</m:t>
              </m:r>
              <m:r>
                <m:t>600</m:t>
              </m:r>
              <m:r>
                <m:rPr>
                  <m:sty m:val="p"/>
                </m:rPr>
                <m:t>)</m:t>
              </m:r>
              <m:r>
                <m:t>M</m:t>
              </m:r>
              <m:r>
                <m:rPr>
                  <m:sty m:val="p"/>
                </m:rPr>
                <m:t>–</m:t>
              </m:r>
            </m:oMath>
            <w:r>
              <w:t xml:space="preserve">(900)M</w:t>
            </w:r>
          </w:p>
        </w:tc>
        <w:tc>
          <w:tcPr/>
          <w:p>
            <w:pPr>
              <w:pStyle w:val="Compact"/>
              <w:jc w:val="right"/>
            </w:pPr>
            <m:oMath>
              <m:r>
                <m:rPr>
                  <m:sty m:val="p"/>
                </m:rPr>
                <m:t>(</m:t>
              </m:r>
              <m:r>
                <m:t>1.0</m:t>
              </m:r>
              <m:r>
                <m:rPr>
                  <m:sty m:val="p"/>
                </m:rPr>
                <m:t>)</m:t>
              </m:r>
              <m:r>
                <m:t>B</m:t>
              </m:r>
              <m:r>
                <m:rPr>
                  <m:sty m:val="p"/>
                </m:rPr>
                <m:t>–</m:t>
              </m:r>
            </m:oMath>
            <w:r>
              <w:rPr>
                <w:b/>
                <w:bCs/>
              </w:rPr>
              <w:t xml:space="preserve">(1.2)B</w:t>
            </w:r>
          </w:p>
        </w:tc>
      </w:tr>
    </w:tbl>
    <w:p>
      <w:pPr>
        <w:pStyle w:val="BodyText"/>
      </w:pPr>
      <w:r>
        <w:t xml:space="preserve">The midpoint deterioration is approximately</w:t>
      </w:r>
      <w:r>
        <w:t xml:space="preserve"> </w:t>
      </w:r>
      <w:r>
        <w:rPr>
          <w:b/>
          <w:bCs/>
        </w:rPr>
        <w:t xml:space="preserve">$350 million</w:t>
      </w:r>
      <w:r>
        <w:t xml:space="preserve">.</w:t>
      </w:r>
    </w:p>
    <w:p>
      <w:pPr>
        <w:pStyle w:val="BodyText"/>
      </w:pPr>
      <w:r>
        <w:t xml:space="preserve">At Q1 earnings, management estimated a $150 million exchange impact and said exchange equivalent admissions had declined approximately 15%, while uninsured equivalent admissions increased roughly 16%. Management then believed the initial</w:t>
      </w:r>
      <w:r>
        <w:t xml:space="preserve"> </w:t>
      </w:r>
      <m:oMath>
        <m:r>
          <m:t>600</m:t>
        </m:r>
        <m:r>
          <m:t>m</m:t>
        </m:r>
        <m:r>
          <m:t>i</m:t>
        </m:r>
        <m:r>
          <m:t>l</m:t>
        </m:r>
        <m:r>
          <m:t>l</m:t>
        </m:r>
        <m:r>
          <m:t>i</m:t>
        </m:r>
        <m:r>
          <m:t>o</m:t>
        </m:r>
        <m:r>
          <m:t>n</m:t>
        </m:r>
        <m:r>
          <m:rPr>
            <m:sty m:val="p"/>
          </m:rPr>
          <m:t>–</m:t>
        </m:r>
      </m:oMath>
      <w:r>
        <w:t xml:space="preserve">900 million annual estimate remained adequate. The Q2 revision shows that the issue developed materially faster than expected. (</w:t>
      </w:r>
      <w:hyperlink r:id="rId13">
        <w:r>
          <w:rPr>
            <w:rStyle w:val="Hyperlink"/>
          </w:rPr>
          <w:t xml:space="preserve">investor.hcahealthcare.com</w:t>
        </w:r>
      </w:hyperlink>
      <w:r>
        <w:t xml:space="preserve">)</w:t>
      </w:r>
    </w:p>
    <w:bookmarkStart w:id="14" w:name="what-investors-need-from-the-call"/>
    <w:p>
      <w:pPr>
        <w:pStyle w:val="Heading3"/>
      </w:pPr>
      <w:r>
        <w:t xml:space="preserve">What investors need from the call</w:t>
      </w:r>
    </w:p>
    <w:p>
      <w:pPr>
        <w:pStyle w:val="FirstParagraph"/>
      </w:pPr>
      <w:r>
        <w:t xml:space="preserve">Management should clarify:</w:t>
      </w:r>
    </w:p>
    <w:p>
      <w:pPr>
        <w:pStyle w:val="Compact"/>
        <w:numPr>
          <w:ilvl w:val="0"/>
          <w:numId w:val="1002"/>
        </w:numPr>
      </w:pPr>
      <w:r>
        <w:t xml:space="preserve">How much of the Q2 impact reflects patients newly losing coverage versus revised collectability assumptions.</w:t>
      </w:r>
    </w:p>
    <w:p>
      <w:pPr>
        <w:pStyle w:val="Compact"/>
        <w:numPr>
          <w:ilvl w:val="0"/>
          <w:numId w:val="1002"/>
        </w:numPr>
      </w:pPr>
      <w:r>
        <w:t xml:space="preserve">Whether exchange attrition continued to worsen through June or stabilized late in the quarter.</w:t>
      </w:r>
    </w:p>
    <w:p>
      <w:pPr>
        <w:pStyle w:val="Compact"/>
        <w:numPr>
          <w:ilvl w:val="0"/>
          <w:numId w:val="1002"/>
        </w:numPr>
      </w:pPr>
      <w:r>
        <w:t xml:space="preserve">Whether the</w:t>
      </w:r>
      <w:r>
        <w:t xml:space="preserve"> </w:t>
      </w:r>
      <m:oMath>
        <m:r>
          <m:t>1.0</m:t>
        </m:r>
        <m:r>
          <m:t>b</m:t>
        </m:r>
        <m:r>
          <m:t>i</m:t>
        </m:r>
        <m:r>
          <m:t>l</m:t>
        </m:r>
        <m:r>
          <m:t>l</m:t>
        </m:r>
        <m:r>
          <m:t>i</m:t>
        </m:r>
        <m:r>
          <m:t>o</m:t>
        </m:r>
        <m:r>
          <m:t>n</m:t>
        </m:r>
        <m:r>
          <m:rPr>
            <m:sty m:val="p"/>
          </m:rPr>
          <m:t>–</m:t>
        </m:r>
      </m:oMath>
      <w:r>
        <w:t xml:space="preserve">1.2 billion estimate includes a sufficient cushion for the second half.</w:t>
      </w:r>
    </w:p>
    <w:p>
      <w:pPr>
        <w:pStyle w:val="Compact"/>
        <w:numPr>
          <w:ilvl w:val="0"/>
          <w:numId w:val="1002"/>
        </w:numPr>
      </w:pPr>
      <w:r>
        <w:t xml:space="preserve">How much uninsured volume is emergency-driven versus deferred or eliminated elective care.</w:t>
      </w:r>
    </w:p>
    <w:p>
      <w:pPr>
        <w:pStyle w:val="Compact"/>
        <w:numPr>
          <w:ilvl w:val="0"/>
          <w:numId w:val="1002"/>
        </w:numPr>
      </w:pPr>
      <w:r>
        <w:t xml:space="preserve">Whether HCA expects a further step-up in uncompensated-care expense during 2027.</w:t>
      </w:r>
    </w:p>
    <w:p>
      <w:pPr>
        <w:pStyle w:val="FirstParagraph"/>
      </w:pPr>
      <w:r>
        <w:t xml:space="preserve">Based on the disclosed Q1 and Q2 estimates, HCA has absorbed approximately</w:t>
      </w:r>
      <w:r>
        <w:t xml:space="preserve"> </w:t>
      </w:r>
      <w:r>
        <w:rPr>
          <w:b/>
          <w:bCs/>
        </w:rPr>
        <w:t xml:space="preserve">$550 million</w:t>
      </w:r>
      <w:r>
        <w:t xml:space="preserve"> </w:t>
      </w:r>
      <w:r>
        <w:t xml:space="preserve">of exchange-related pressure during the first half. The revised guidance midpoint implies approximately another $550 million in the second half. That assumption may prove reasonable, but management needs to explain why Q2’s deterioration should not continue accelerating.</w:t>
      </w:r>
    </w:p>
    <w:bookmarkEnd w:id="14"/>
    <w:bookmarkEnd w:id="15"/>
    <w:bookmarkStart w:id="16" w:name="Xffbf57969755422c14bf846ab9b257595376ef6"/>
    <w:p>
      <w:pPr>
        <w:pStyle w:val="Heading2"/>
      </w:pPr>
      <w:r>
        <w:t xml:space="preserve">Medicaid supplemental payments: a major offset, but not necessarily core earnings</w:t>
      </w:r>
    </w:p>
    <w:p>
      <w:pPr>
        <w:pStyle w:val="FirstParagraph"/>
      </w:pPr>
      <w:r>
        <w:t xml:space="preserve">HCA recognized approximately</w:t>
      </w:r>
      <w:r>
        <w:t xml:space="preserve"> </w:t>
      </w:r>
      <w:r>
        <w:rPr>
          <w:b/>
          <w:bCs/>
        </w:rPr>
        <w:t xml:space="preserve">$400 million of incremental net benefit</w:t>
      </w:r>
      <w:r>
        <w:t xml:space="preserve"> </w:t>
      </w:r>
      <w:r>
        <w:t xml:space="preserve">from Medicaid supplemental-payment programs in Q2, primarily associated with Florida’s approved state-directed payment program covering the period from October 1, 2024 through June 30, 2026.</w:t>
      </w:r>
    </w:p>
    <w:p>
      <w:pPr>
        <w:pStyle w:val="BodyText"/>
      </w:pPr>
      <w:r>
        <w:t xml:space="preserve">The company also revised its full-year Medicaid supplemental-payment assumption: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Medicaid supplemental-payment change</w:t>
            </w:r>
          </w:p>
        </w:tc>
        <w:tc>
          <w:tcPr/>
          <w:p>
            <w:pPr>
              <w:pStyle w:val="Compact"/>
              <w:jc w:val="right"/>
            </w:pPr>
            <w:r>
              <w:t xml:space="preserve">Previous estimate</w:t>
            </w:r>
          </w:p>
        </w:tc>
        <w:tc>
          <w:tcPr/>
          <w:p>
            <w:pPr>
              <w:pStyle w:val="Compact"/>
              <w:jc w:val="right"/>
            </w:pPr>
            <w:r>
              <w:t xml:space="preserve">Revised estimate</w:t>
            </w:r>
          </w:p>
        </w:tc>
      </w:tr>
      <w:tr>
        <w:tc>
          <w:tcPr/>
          <w:p>
            <w:pPr>
              <w:pStyle w:val="Compact"/>
            </w:pPr>
            <w:r>
              <w:t xml:space="preserve">Incremental net benefit</w:t>
            </w:r>
          </w:p>
        </w:tc>
        <w:tc>
          <w:tcPr/>
          <w:p>
            <w:pPr>
              <w:pStyle w:val="Compact"/>
              <w:jc w:val="right"/>
            </w:pPr>
            <m:oMath>
              <m:r>
                <m:rPr>
                  <m:sty m:val="p"/>
                </m:rPr>
                <m:t>(</m:t>
              </m:r>
              <m:r>
                <m:t>50</m:t>
              </m:r>
              <m:r>
                <m:rPr>
                  <m:sty m:val="p"/>
                </m:rPr>
                <m:t>)</m:t>
              </m:r>
              <m:r>
                <m:t>M</m:t>
              </m:r>
              <m:r>
                <m:rPr>
                  <m:sty m:val="p"/>
                </m:rPr>
                <m:t>–</m:t>
              </m:r>
            </m:oMath>
            <w:r>
              <w:t xml:space="preserve">(250)M</w:t>
            </w:r>
          </w:p>
        </w:tc>
        <w:tc>
          <w:tcPr/>
          <w:p>
            <w:pPr>
              <w:pStyle w:val="Compact"/>
              <w:jc w:val="right"/>
            </w:pPr>
            <w:r>
              <w:rPr>
                <w:b/>
                <w:bCs/>
              </w:rPr>
              <w:t xml:space="preserve">+</w:t>
            </w:r>
            <m:oMath>
              <m:r>
                <m:t>300</m:t>
              </m:r>
              <m:r>
                <m:t>M</m:t>
              </m:r>
              <m:r>
                <m:rPr>
                  <m:sty m:val="p"/>
                </m:rPr>
                <m:t>–</m:t>
              </m:r>
              <m:r>
                <m:rPr>
                  <m:sty m:val="p"/>
                </m:rPr>
                <m:t>+</m:t>
              </m:r>
            </m:oMath>
            <w:r>
              <w:rPr>
                <w:b/>
                <w:bCs/>
              </w:rPr>
              <w:t xml:space="preserve">500M</w:t>
            </w:r>
          </w:p>
        </w:tc>
      </w:tr>
    </w:tbl>
    <w:p>
      <w:pPr>
        <w:pStyle w:val="BodyText"/>
      </w:pPr>
      <w:r>
        <w:t xml:space="preserve">This favorable revision more than offsets the higher exchange headwind on a simple midpoint basis. Yet HCA still reduced EBITDA and EPS guidance. That highlights the importance of weaker surgical mix, margin pressure and potentially other operating assumptions. (</w:t>
      </w:r>
      <w:hyperlink r:id="rId9">
        <w:r>
          <w:rPr>
            <w:rStyle w:val="Hyperlink"/>
          </w:rPr>
          <w:t xml:space="preserve">investor.hcahealthcare.com</w:t>
        </w:r>
      </w:hyperlink>
      <w:r>
        <w:t xml:space="preserve">)</w:t>
      </w:r>
    </w:p>
    <w:p>
      <w:pPr>
        <w:pStyle w:val="BodyText"/>
      </w:pPr>
      <w:r>
        <w:t xml:space="preserve">Investors should not treat the entire Q2 Medicaid benefit as recurring quarterly earnings. Much of it covers prior periods, and future payments depend on program approvals, structure and timing.</w:t>
      </w:r>
    </w:p>
    <w:p>
      <w:pPr>
        <w:pStyle w:val="BodyText"/>
      </w:pPr>
      <w:r>
        <w:t xml:space="preserve">The call needs to separate:</w:t>
      </w:r>
    </w:p>
    <w:p>
      <w:pPr>
        <w:pStyle w:val="Compact"/>
        <w:numPr>
          <w:ilvl w:val="0"/>
          <w:numId w:val="1003"/>
        </w:numPr>
      </w:pPr>
      <w:r>
        <w:t xml:space="preserve">Prior-period catch-up revenue.</w:t>
      </w:r>
    </w:p>
    <w:p>
      <w:pPr>
        <w:pStyle w:val="Compact"/>
        <w:numPr>
          <w:ilvl w:val="0"/>
          <w:numId w:val="1003"/>
        </w:numPr>
      </w:pPr>
      <w:r>
        <w:t xml:space="preserve">Benefits attributable to current Q2 activity.</w:t>
      </w:r>
    </w:p>
    <w:p>
      <w:pPr>
        <w:pStyle w:val="Compact"/>
        <w:numPr>
          <w:ilvl w:val="0"/>
          <w:numId w:val="1003"/>
        </w:numPr>
      </w:pPr>
      <w:r>
        <w:t xml:space="preserve">Cash already received versus amounts accrued.</w:t>
      </w:r>
    </w:p>
    <w:p>
      <w:pPr>
        <w:pStyle w:val="Compact"/>
        <w:numPr>
          <w:ilvl w:val="0"/>
          <w:numId w:val="1003"/>
        </w:numPr>
      </w:pPr>
      <w:r>
        <w:t xml:space="preserve">The sustainable annual run rate entering 2027.</w:t>
      </w:r>
    </w:p>
    <w:p>
      <w:pPr>
        <w:pStyle w:val="Compact"/>
        <w:numPr>
          <w:ilvl w:val="0"/>
          <w:numId w:val="1003"/>
        </w:numPr>
      </w:pPr>
      <w:r>
        <w:t xml:space="preserve">Potential exposure to future federal or state program changes.</w:t>
      </w:r>
    </w:p>
    <w:bookmarkEnd w:id="16"/>
    <w:bookmarkStart w:id="17" w:name="X3e56a55d9640ad2bf69881cae7cb950a07af7b2"/>
    <w:p>
      <w:pPr>
        <w:pStyle w:val="Heading2"/>
      </w:pPr>
      <w:r>
        <w:t xml:space="preserve">Volume growth is encouraging—but the mix is not</w:t>
      </w:r>
    </w:p>
    <w:p>
      <w:pPr>
        <w:pStyle w:val="FirstParagraph"/>
      </w:pPr>
      <w:r>
        <w:t xml:space="preserve">Admissions and ER visits accelerated substantially from Q1:</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Same-facility volume growth</w:t>
            </w:r>
          </w:p>
        </w:tc>
        <w:tc>
          <w:tcPr/>
          <w:p>
            <w:pPr>
              <w:pStyle w:val="Compact"/>
              <w:jc w:val="right"/>
            </w:pPr>
            <w:r>
              <w:t xml:space="preserve">Q1 2026</w:t>
            </w:r>
          </w:p>
        </w:tc>
        <w:tc>
          <w:tcPr/>
          <w:p>
            <w:pPr>
              <w:pStyle w:val="Compact"/>
              <w:jc w:val="right"/>
            </w:pPr>
            <w:r>
              <w:t xml:space="preserve">Preliminary Q2 2026</w:t>
            </w:r>
          </w:p>
        </w:tc>
      </w:tr>
      <w:tr>
        <w:tc>
          <w:tcPr/>
          <w:p>
            <w:pPr>
              <w:pStyle w:val="Compact"/>
            </w:pPr>
            <w:r>
              <w:t xml:space="preserve">Admissions</w:t>
            </w:r>
          </w:p>
        </w:tc>
        <w:tc>
          <w:tcPr/>
          <w:p>
            <w:pPr>
              <w:pStyle w:val="Compact"/>
              <w:jc w:val="right"/>
            </w:pPr>
            <w:r>
              <w:t xml:space="preserve">+0.9%</w:t>
            </w:r>
          </w:p>
        </w:tc>
        <w:tc>
          <w:tcPr/>
          <w:p>
            <w:pPr>
              <w:pStyle w:val="Compact"/>
              <w:jc w:val="right"/>
            </w:pPr>
            <w:r>
              <w:rPr>
                <w:b/>
                <w:bCs/>
              </w:rPr>
              <w:t xml:space="preserve">+2.5%</w:t>
            </w:r>
          </w:p>
        </w:tc>
      </w:tr>
      <w:tr>
        <w:tc>
          <w:tcPr/>
          <w:p>
            <w:pPr>
              <w:pStyle w:val="Compact"/>
            </w:pPr>
            <w:r>
              <w:t xml:space="preserve">Equivalent admissions</w:t>
            </w:r>
          </w:p>
        </w:tc>
        <w:tc>
          <w:tcPr/>
          <w:p>
            <w:pPr>
              <w:pStyle w:val="Compact"/>
              <w:jc w:val="right"/>
            </w:pPr>
            <w:r>
              <w:t xml:space="preserve">+1.3%</w:t>
            </w:r>
          </w:p>
        </w:tc>
        <w:tc>
          <w:tcPr/>
          <w:p>
            <w:pPr>
              <w:pStyle w:val="Compact"/>
              <w:jc w:val="right"/>
            </w:pPr>
            <w:r>
              <w:rPr>
                <w:b/>
                <w:bCs/>
              </w:rPr>
              <w:t xml:space="preserve">+2.7%</w:t>
            </w:r>
          </w:p>
        </w:tc>
      </w:tr>
      <w:tr>
        <w:tc>
          <w:tcPr/>
          <w:p>
            <w:pPr>
              <w:pStyle w:val="Compact"/>
            </w:pPr>
            <w:r>
              <w:t xml:space="preserve">ER visits</w:t>
            </w:r>
          </w:p>
        </w:tc>
        <w:tc>
          <w:tcPr/>
          <w:p>
            <w:pPr>
              <w:pStyle w:val="Compact"/>
              <w:jc w:val="right"/>
            </w:pPr>
            <w:r>
              <w:t xml:space="preserve">+0.3%</w:t>
            </w:r>
          </w:p>
        </w:tc>
        <w:tc>
          <w:tcPr/>
          <w:p>
            <w:pPr>
              <w:pStyle w:val="Compact"/>
              <w:jc w:val="right"/>
            </w:pPr>
            <w:r>
              <w:rPr>
                <w:b/>
                <w:bCs/>
              </w:rPr>
              <w:t xml:space="preserve">+3.6%</w:t>
            </w:r>
          </w:p>
        </w:tc>
      </w:tr>
      <w:tr>
        <w:tc>
          <w:tcPr/>
          <w:p>
            <w:pPr>
              <w:pStyle w:val="Compact"/>
            </w:pPr>
            <w:r>
              <w:t xml:space="preserve">Inpatient surgeries</w:t>
            </w:r>
          </w:p>
        </w:tc>
        <w:tc>
          <w:tcPr/>
          <w:p>
            <w:pPr>
              <w:pStyle w:val="Compact"/>
              <w:jc w:val="right"/>
            </w:pPr>
            <w:r>
              <w:t xml:space="preserve">-0.3%</w:t>
            </w:r>
          </w:p>
        </w:tc>
        <w:tc>
          <w:tcPr/>
          <w:p>
            <w:pPr>
              <w:pStyle w:val="Compact"/>
              <w:jc w:val="right"/>
            </w:pPr>
            <w:r>
              <w:rPr>
                <w:b/>
                <w:bCs/>
              </w:rPr>
              <w:t xml:space="preserve">-2.3%</w:t>
            </w:r>
          </w:p>
        </w:tc>
      </w:tr>
      <w:tr>
        <w:tc>
          <w:tcPr/>
          <w:p>
            <w:pPr>
              <w:pStyle w:val="Compact"/>
            </w:pPr>
            <w:r>
              <w:t xml:space="preserve">Outpatient surgeries</w:t>
            </w:r>
          </w:p>
        </w:tc>
        <w:tc>
          <w:tcPr/>
          <w:p>
            <w:pPr>
              <w:pStyle w:val="Compact"/>
              <w:jc w:val="right"/>
            </w:pPr>
            <w:r>
              <w:t xml:space="preserve">-1.7%</w:t>
            </w:r>
          </w:p>
        </w:tc>
        <w:tc>
          <w:tcPr/>
          <w:p>
            <w:pPr>
              <w:pStyle w:val="Compact"/>
              <w:jc w:val="right"/>
            </w:pPr>
            <w:r>
              <w:rPr>
                <w:b/>
                <w:bCs/>
              </w:rPr>
              <w:t xml:space="preserve">-3.4%</w:t>
            </w:r>
          </w:p>
        </w:tc>
      </w:tr>
    </w:tbl>
    <w:p>
      <w:pPr>
        <w:pStyle w:val="BodyText"/>
      </w:pPr>
      <w:r>
        <w:t xml:space="preserve">Q1 had been affected by weak respiratory activity and winter weather, so a rebound was expected. The concern is that the rebound did not extend to surgery. HCA said Q2 included an unfavorable service-mix shift primarily related to lower surgical volume. (</w:t>
      </w:r>
      <w:hyperlink r:id="rId9">
        <w:r>
          <w:rPr>
            <w:rStyle w:val="Hyperlink"/>
          </w:rPr>
          <w:t xml:space="preserve">investor.hcahealthcare.com</w:t>
        </w:r>
      </w:hyperlink>
      <w:r>
        <w:t xml:space="preserve">)</w:t>
      </w:r>
    </w:p>
    <w:p>
      <w:pPr>
        <w:pStyle w:val="BodyText"/>
      </w:pPr>
      <w:r>
        <w:t xml:space="preserve">The distinction matters. Emergency visits and admissions can generate strong demand statistics, but elective and complex surgical procedures often produce more attractive economics. If exchange coverage losses are causing patients to defer planned procedures, the payer-mix and service-mix problems may be linked rather than independent.</w:t>
      </w:r>
    </w:p>
    <w:p>
      <w:pPr>
        <w:pStyle w:val="BodyText"/>
      </w:pPr>
      <w:r>
        <w:t xml:space="preserve">Key questions include:</w:t>
      </w:r>
    </w:p>
    <w:p>
      <w:pPr>
        <w:pStyle w:val="Compact"/>
        <w:numPr>
          <w:ilvl w:val="0"/>
          <w:numId w:val="1004"/>
        </w:numPr>
      </w:pPr>
      <w:r>
        <w:t xml:space="preserve">Which specialties drove the surgical decline—orthopedics, ophthalmology, ENT or higher-acuity procedures?</w:t>
      </w:r>
    </w:p>
    <w:p>
      <w:pPr>
        <w:pStyle w:val="Compact"/>
        <w:numPr>
          <w:ilvl w:val="0"/>
          <w:numId w:val="1004"/>
        </w:numPr>
      </w:pPr>
      <w:r>
        <w:t xml:space="preserve">Was weakness concentrated among exchange and Medicaid patients?</w:t>
      </w:r>
    </w:p>
    <w:p>
      <w:pPr>
        <w:pStyle w:val="Compact"/>
        <w:numPr>
          <w:ilvl w:val="0"/>
          <w:numId w:val="1004"/>
        </w:numPr>
      </w:pPr>
      <w:r>
        <w:t xml:space="preserve">Did hospital-based and ambulatory surgery centers experience similar trends?</w:t>
      </w:r>
    </w:p>
    <w:p>
      <w:pPr>
        <w:pStyle w:val="Compact"/>
        <w:numPr>
          <w:ilvl w:val="0"/>
          <w:numId w:val="1004"/>
        </w:numPr>
      </w:pPr>
      <w:r>
        <w:t xml:space="preserve">Did surgical volumes improve exiting June?</w:t>
      </w:r>
    </w:p>
    <w:p>
      <w:pPr>
        <w:pStyle w:val="Compact"/>
        <w:numPr>
          <w:ilvl w:val="0"/>
          <w:numId w:val="1004"/>
        </w:numPr>
      </w:pPr>
      <w:r>
        <w:t xml:space="preserve">Is HCA losing cases, or are procedures simply being delayed?</w:t>
      </w:r>
    </w:p>
    <w:bookmarkEnd w:id="17"/>
    <w:bookmarkStart w:id="18" w:name="Xb6febff77edd8cd2926d2d7e93d569bd79d091a"/>
    <w:p>
      <w:pPr>
        <w:pStyle w:val="Heading2"/>
      </w:pPr>
      <w:r>
        <w:t xml:space="preserve">Margin protection is the key operational test</w:t>
      </w:r>
    </w:p>
    <w:p>
      <w:pPr>
        <w:pStyle w:val="FirstParagraph"/>
      </w:pPr>
      <w:r>
        <w:t xml:space="preserve">Adjusted EBITDA increased 4.6%, but revenue grew 8.7%, producing an 80-basis-point margin contraction to 19.9%. This follows a 50-basis-point decline in Q1, when adjusted EBITDA margin was also 19.9%.</w:t>
      </w:r>
    </w:p>
    <w:p>
      <w:pPr>
        <w:pStyle w:val="BodyText"/>
      </w:pPr>
      <w:r>
        <w:t xml:space="preserve">Management previously outlined approximately</w:t>
      </w:r>
      <w:r>
        <w:t xml:space="preserve"> </w:t>
      </w:r>
      <w:r>
        <w:rPr>
          <w:b/>
          <w:bCs/>
        </w:rPr>
        <w:t xml:space="preserve">$400 million of 2026 resiliency benefits</w:t>
      </w:r>
      <w:r>
        <w:t xml:space="preserve">, including labor productivity, revenue-cycle initiatives, case-management improvements and AI-supported workflows. Q1 labor and supply ratios improved, but those gains were outweighed by other operating expenses and adverse operating leverage.</w:t>
      </w:r>
    </w:p>
    <w:p>
      <w:pPr>
        <w:pStyle w:val="BodyText"/>
      </w:pPr>
      <w:r>
        <w:t xml:space="preserve">For Q2, investors should focus on:</w:t>
      </w:r>
    </w:p>
    <w:p>
      <w:pPr>
        <w:pStyle w:val="Compact"/>
        <w:numPr>
          <w:ilvl w:val="0"/>
          <w:numId w:val="1005"/>
        </w:numPr>
      </w:pPr>
      <w:r>
        <w:t xml:space="preserve">Salaries and benefits as a percentage of revenue.</w:t>
      </w:r>
    </w:p>
    <w:p>
      <w:pPr>
        <w:pStyle w:val="Compact"/>
        <w:numPr>
          <w:ilvl w:val="0"/>
          <w:numId w:val="1005"/>
        </w:numPr>
      </w:pPr>
      <w:r>
        <w:t xml:space="preserve">Contract-labor and nursing costs.</w:t>
      </w:r>
    </w:p>
    <w:p>
      <w:pPr>
        <w:pStyle w:val="Compact"/>
        <w:numPr>
          <w:ilvl w:val="0"/>
          <w:numId w:val="1005"/>
        </w:numPr>
      </w:pPr>
      <w:r>
        <w:t xml:space="preserve">Supply inflation and tariff exposure.</w:t>
      </w:r>
    </w:p>
    <w:p>
      <w:pPr>
        <w:pStyle w:val="Compact"/>
        <w:numPr>
          <w:ilvl w:val="0"/>
          <w:numId w:val="1005"/>
        </w:numPr>
      </w:pPr>
      <w:r>
        <w:t xml:space="preserve">Uncompensated-care expense and bad-debt trends.</w:t>
      </w:r>
    </w:p>
    <w:p>
      <w:pPr>
        <w:pStyle w:val="Compact"/>
        <w:numPr>
          <w:ilvl w:val="0"/>
          <w:numId w:val="1005"/>
        </w:numPr>
      </w:pPr>
      <w:r>
        <w:t xml:space="preserve">Quantified resiliency savings achieved year to date.</w:t>
      </w:r>
    </w:p>
    <w:p>
      <w:pPr>
        <w:pStyle w:val="Compact"/>
        <w:numPr>
          <w:ilvl w:val="0"/>
          <w:numId w:val="1005"/>
        </w:numPr>
      </w:pPr>
      <w:r>
        <w:t xml:space="preserve">The amount still required in the second half to reach the $400 million target.</w:t>
      </w:r>
    </w:p>
    <w:p>
      <w:pPr>
        <w:pStyle w:val="Compact"/>
        <w:numPr>
          <w:ilvl w:val="0"/>
          <w:numId w:val="1005"/>
        </w:numPr>
      </w:pPr>
      <w:r>
        <w:t xml:space="preserve">Whether the revised guidance assumes further margin compression.</w:t>
      </w:r>
    </w:p>
    <w:bookmarkEnd w:id="18"/>
    <w:bookmarkStart w:id="19" w:name="revised-guidance"/>
    <w:p>
      <w:pPr>
        <w:pStyle w:val="Heading2"/>
      </w:pPr>
      <w:r>
        <w:t xml:space="preserve">Revised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2026 metric</w:t>
            </w:r>
          </w:p>
        </w:tc>
        <w:tc>
          <w:tcPr/>
          <w:p>
            <w:pPr>
              <w:pStyle w:val="Compact"/>
              <w:jc w:val="right"/>
            </w:pPr>
            <w:r>
              <w:t xml:space="preserve">Previous range</w:t>
            </w:r>
          </w:p>
        </w:tc>
        <w:tc>
          <w:tcPr/>
          <w:p>
            <w:pPr>
              <w:pStyle w:val="Compact"/>
              <w:jc w:val="right"/>
            </w:pPr>
            <w:r>
              <w:t xml:space="preserve">Revised range</w:t>
            </w:r>
          </w:p>
        </w:tc>
        <w:tc>
          <w:tcPr/>
          <w:p>
            <w:pPr>
              <w:pStyle w:val="Compact"/>
              <w:jc w:val="right"/>
            </w:pPr>
            <w:r>
              <w:t xml:space="preserve">Midpoint change</w:t>
            </w:r>
          </w:p>
        </w:tc>
      </w:tr>
      <w:tr>
        <w:tc>
          <w:tcPr/>
          <w:p>
            <w:pPr>
              <w:pStyle w:val="Compact"/>
            </w:pPr>
            <w:r>
              <w:t xml:space="preserve">Revenue</w:t>
            </w:r>
          </w:p>
        </w:tc>
        <w:tc>
          <w:tcPr/>
          <w:p>
            <w:pPr>
              <w:pStyle w:val="Compact"/>
              <w:jc w:val="right"/>
            </w:pPr>
            <m:oMath>
              <m:r>
                <m:t>76.5</m:t>
              </m:r>
              <m:r>
                <m:t>B</m:t>
              </m:r>
              <m:r>
                <m:rPr>
                  <m:sty m:val="p"/>
                </m:rPr>
                <m:t>–</m:t>
              </m:r>
            </m:oMath>
            <w:r>
              <w:t xml:space="preserve">80.0B</w:t>
            </w:r>
          </w:p>
        </w:tc>
        <w:tc>
          <w:tcPr/>
          <w:p>
            <w:pPr>
              <w:pStyle w:val="Compact"/>
              <w:jc w:val="right"/>
            </w:pPr>
            <m:oMath>
              <m:r>
                <m:t>77.0</m:t>
              </m:r>
              <m:r>
                <m:t>B</m:t>
              </m:r>
              <m:r>
                <m:rPr>
                  <m:sty m:val="p"/>
                </m:rPr>
                <m:t>–</m:t>
              </m:r>
            </m:oMath>
            <w:r>
              <w:rPr>
                <w:b/>
                <w:bCs/>
              </w:rPr>
              <w:t xml:space="preserve">79.5B</w:t>
            </w:r>
          </w:p>
        </w:tc>
        <w:tc>
          <w:tcPr/>
          <w:p>
            <w:pPr>
              <w:pStyle w:val="Compact"/>
              <w:jc w:val="right"/>
            </w:pPr>
            <w:r>
              <w:t xml:space="preserve">Unchanged at $78.25B</w:t>
            </w:r>
          </w:p>
        </w:tc>
      </w:tr>
      <w:tr>
        <w:tc>
          <w:tcPr/>
          <w:p>
            <w:pPr>
              <w:pStyle w:val="Compact"/>
            </w:pPr>
            <w:r>
              <w:t xml:space="preserve">Net income</w:t>
            </w:r>
          </w:p>
        </w:tc>
        <w:tc>
          <w:tcPr/>
          <w:p>
            <w:pPr>
              <w:pStyle w:val="Compact"/>
              <w:jc w:val="right"/>
            </w:pPr>
            <m:oMath>
              <m:r>
                <m:t>6.495</m:t>
              </m:r>
              <m:r>
                <m:t>B</m:t>
              </m:r>
              <m:r>
                <m:rPr>
                  <m:sty m:val="p"/>
                </m:rPr>
                <m:t>–</m:t>
              </m:r>
            </m:oMath>
            <w:r>
              <w:t xml:space="preserve">7.035B</w:t>
            </w:r>
          </w:p>
        </w:tc>
        <w:tc>
          <w:tcPr/>
          <w:p>
            <w:pPr>
              <w:pStyle w:val="Compact"/>
              <w:jc w:val="right"/>
            </w:pPr>
            <m:oMath>
              <m:r>
                <m:t>6.3</m:t>
              </m:r>
              <m:r>
                <m:t>B</m:t>
              </m:r>
              <m:r>
                <m:rPr>
                  <m:sty m:val="p"/>
                </m:rPr>
                <m:t>–</m:t>
              </m:r>
            </m:oMath>
            <w:r>
              <w:rPr>
                <w:b/>
                <w:bCs/>
              </w:rPr>
              <w:t xml:space="preserve">6.7B</w:t>
            </w:r>
          </w:p>
        </w:tc>
        <w:tc>
          <w:tcPr/>
          <w:p>
            <w:pPr>
              <w:pStyle w:val="Compact"/>
              <w:jc w:val="right"/>
            </w:pPr>
            <w:r>
              <w:t xml:space="preserve">Down approximately $265M</w:t>
            </w:r>
          </w:p>
        </w:tc>
      </w:tr>
      <w:tr>
        <w:tc>
          <w:tcPr/>
          <w:p>
            <w:pPr>
              <w:pStyle w:val="Compact"/>
            </w:pPr>
            <w:r>
              <w:t xml:space="preserve">Adjusted EBITDA</w:t>
            </w:r>
          </w:p>
        </w:tc>
        <w:tc>
          <w:tcPr/>
          <w:p>
            <w:pPr>
              <w:pStyle w:val="Compact"/>
              <w:jc w:val="right"/>
            </w:pPr>
            <m:oMath>
              <m:r>
                <m:t>15.55</m:t>
              </m:r>
              <m:r>
                <m:t>B</m:t>
              </m:r>
              <m:r>
                <m:rPr>
                  <m:sty m:val="p"/>
                </m:rPr>
                <m:t>–</m:t>
              </m:r>
            </m:oMath>
            <w:r>
              <w:t xml:space="preserve">16.45B</w:t>
            </w:r>
          </w:p>
        </w:tc>
        <w:tc>
          <w:tcPr/>
          <w:p>
            <w:pPr>
              <w:pStyle w:val="Compact"/>
              <w:jc w:val="right"/>
            </w:pPr>
            <m:oMath>
              <m:r>
                <m:t>15.4</m:t>
              </m:r>
              <m:r>
                <m:t>B</m:t>
              </m:r>
              <m:r>
                <m:rPr>
                  <m:sty m:val="p"/>
                </m:rPr>
                <m:t>–</m:t>
              </m:r>
            </m:oMath>
            <w:r>
              <w:rPr>
                <w:b/>
                <w:bCs/>
              </w:rPr>
              <w:t xml:space="preserve">16.1B</w:t>
            </w:r>
          </w:p>
        </w:tc>
        <w:tc>
          <w:tcPr/>
          <w:p>
            <w:pPr>
              <w:pStyle w:val="Compact"/>
              <w:jc w:val="right"/>
            </w:pPr>
            <w:r>
              <w:t xml:space="preserve">Down $250M</w:t>
            </w:r>
          </w:p>
        </w:tc>
      </w:tr>
      <w:tr>
        <w:tc>
          <w:tcPr/>
          <w:p>
            <w:pPr>
              <w:pStyle w:val="Compact"/>
            </w:pPr>
            <w:r>
              <w:t xml:space="preserve">Diluted EPS</w:t>
            </w:r>
          </w:p>
        </w:tc>
        <w:tc>
          <w:tcPr/>
          <w:p>
            <w:pPr>
              <w:pStyle w:val="Compact"/>
              <w:jc w:val="right"/>
            </w:pPr>
            <m:oMath>
              <m:r>
                <m:t>29.10</m:t>
              </m:r>
              <m:r>
                <m:rPr>
                  <m:sty m:val="p"/>
                </m:rPr>
                <m:t>–</m:t>
              </m:r>
            </m:oMath>
            <w:r>
              <w:t xml:space="preserve">31.50</w:t>
            </w:r>
          </w:p>
        </w:tc>
        <w:tc>
          <w:tcPr/>
          <w:p>
            <w:pPr>
              <w:pStyle w:val="Compact"/>
              <w:jc w:val="right"/>
            </w:pPr>
            <m:oMath>
              <m:r>
                <m:t>28.70</m:t>
              </m:r>
              <m:r>
                <m:rPr>
                  <m:sty m:val="p"/>
                </m:rPr>
                <m:t>–</m:t>
              </m:r>
            </m:oMath>
            <w:r>
              <w:rPr>
                <w:b/>
                <w:bCs/>
              </w:rPr>
              <w:t xml:space="preserve">30.50</w:t>
            </w:r>
          </w:p>
        </w:tc>
        <w:tc>
          <w:tcPr/>
          <w:p>
            <w:pPr>
              <w:pStyle w:val="Compact"/>
              <w:jc w:val="right"/>
            </w:pPr>
            <w:r>
              <w:t xml:space="preserve">Down $0.70</w:t>
            </w:r>
          </w:p>
        </w:tc>
      </w:tr>
      <w:tr>
        <w:tc>
          <w:tcPr/>
          <w:p>
            <w:pPr>
              <w:pStyle w:val="Compact"/>
            </w:pPr>
            <w:r>
              <w:t xml:space="preserve">Capital expenditures</w:t>
            </w:r>
          </w:p>
        </w:tc>
        <w:tc>
          <w:tcPr/>
          <w:p>
            <w:pPr>
              <w:pStyle w:val="Compact"/>
              <w:jc w:val="right"/>
            </w:pPr>
            <m:oMath>
              <m:r>
                <m:t>5.0</m:t>
              </m:r>
              <m:r>
                <m:t>B</m:t>
              </m:r>
              <m:r>
                <m:rPr>
                  <m:sty m:val="p"/>
                </m:rPr>
                <m:t>–</m:t>
              </m:r>
            </m:oMath>
            <w:r>
              <w:t xml:space="preserve">5.5B</w:t>
            </w:r>
          </w:p>
        </w:tc>
        <w:tc>
          <w:tcPr/>
          <w:p>
            <w:pPr>
              <w:pStyle w:val="Compact"/>
              <w:jc w:val="right"/>
            </w:pPr>
            <w:r>
              <w:rPr>
                <w:b/>
                <w:bCs/>
              </w:rPr>
              <w:t xml:space="preserve">Unchanged</w:t>
            </w:r>
          </w:p>
        </w:tc>
        <w:tc>
          <w:tcPr/>
          <w:p>
            <w:pPr>
              <w:pStyle w:val="Compact"/>
              <w:jc w:val="right"/>
            </w:pPr>
            <w:r>
              <w:t xml:space="preserve">—</w:t>
            </w:r>
          </w:p>
        </w:tc>
      </w:tr>
    </w:tbl>
    <w:p>
      <w:pPr>
        <w:pStyle w:val="BodyText"/>
      </w:pPr>
      <w:r>
        <w:t xml:space="preserve">The revenue midpoint was maintained, while profit expectations declined. That is a classic indication of</w:t>
      </w:r>
      <w:r>
        <w:t xml:space="preserve"> </w:t>
      </w:r>
      <w:r>
        <w:rPr>
          <w:b/>
          <w:bCs/>
        </w:rPr>
        <w:t xml:space="preserve">lower revenue quality and weaker conversion to earnings</w:t>
      </w:r>
      <w:r>
        <w:t xml:space="preserve">.</w:t>
      </w:r>
    </w:p>
    <w:p>
      <w:pPr>
        <w:pStyle w:val="BodyText"/>
      </w:pPr>
      <w:r>
        <w:t xml:space="preserve">Through the preliminary first half, HCA has generated:</w:t>
      </w:r>
    </w:p>
    <w:p>
      <w:pPr>
        <w:pStyle w:val="Compact"/>
        <w:numPr>
          <w:ilvl w:val="0"/>
          <w:numId w:val="1006"/>
        </w:numPr>
      </w:pPr>
      <w:r>
        <w:t xml:space="preserve">Revenue of approximately</w:t>
      </w:r>
      <w:r>
        <w:t xml:space="preserve"> </w:t>
      </w:r>
      <w:r>
        <w:rPr>
          <w:b/>
          <w:bCs/>
        </w:rPr>
        <w:t xml:space="preserve">$39.34 billion</w:t>
      </w:r>
    </w:p>
    <w:p>
      <w:pPr>
        <w:pStyle w:val="Compact"/>
        <w:numPr>
          <w:ilvl w:val="0"/>
          <w:numId w:val="1006"/>
        </w:numPr>
      </w:pPr>
      <w:r>
        <w:t xml:space="preserve">Adjusted EBITDA of approximately</w:t>
      </w:r>
      <w:r>
        <w:t xml:space="preserve"> </w:t>
      </w:r>
      <w:r>
        <w:rPr>
          <w:b/>
          <w:bCs/>
        </w:rPr>
        <w:t xml:space="preserve">$7.83 billion</w:t>
      </w:r>
    </w:p>
    <w:p>
      <w:pPr>
        <w:pStyle w:val="Compact"/>
        <w:numPr>
          <w:ilvl w:val="0"/>
          <w:numId w:val="1006"/>
        </w:numPr>
      </w:pPr>
      <w:r>
        <w:t xml:space="preserve">Net income attributable to HCA of approximately</w:t>
      </w:r>
      <w:r>
        <w:t xml:space="preserve"> </w:t>
      </w:r>
      <w:r>
        <w:rPr>
          <w:b/>
          <w:bCs/>
        </w:rPr>
        <w:t xml:space="preserve">$3.32 billion</w:t>
      </w:r>
    </w:p>
    <w:p>
      <w:pPr>
        <w:pStyle w:val="FirstParagraph"/>
      </w:pPr>
      <w:r>
        <w:t xml:space="preserve">At the revised guidance midpoint, HCA therefore needs roughly</w:t>
      </w:r>
      <w:r>
        <w:t xml:space="preserve"> </w:t>
      </w:r>
      <w:r>
        <w:rPr>
          <w:b/>
          <w:bCs/>
        </w:rPr>
        <w:t xml:space="preserve">$38.91 billion of second-half revenue and $7.92 billion of second-half adjusted EBITDA</w:t>
      </w:r>
      <w:r>
        <w:t xml:space="preserve">. The arithmetic is achievable, but the quality of the first half—particularly the retrospective Florida payment—means management’s underlying bridge is more important than the totals.</w:t>
      </w:r>
    </w:p>
    <w:bookmarkEnd w:id="19"/>
    <w:bookmarkStart w:id="20" w:name="capital-allocation-and-the-buyback"/>
    <w:p>
      <w:pPr>
        <w:pStyle w:val="Heading2"/>
      </w:pPr>
      <w:r>
        <w:t xml:space="preserve">Capital allocation and the buyback</w:t>
      </w:r>
    </w:p>
    <w:p>
      <w:pPr>
        <w:pStyle w:val="FirstParagraph"/>
      </w:pPr>
      <w:r>
        <w:t xml:space="preserve">HCA repurchased $1.57 billion of stock in Q1 at an average price of approximately $497.63, with $9.18 billion remaining under its authorization at March 31. The share price subsequently fell sharply following the Q2 preannouncement.</w:t>
      </w:r>
    </w:p>
    <w:p>
      <w:pPr>
        <w:pStyle w:val="BodyText"/>
      </w:pPr>
      <w:r>
        <w:t xml:space="preserve">Investors should listen for:</w:t>
      </w:r>
    </w:p>
    <w:p>
      <w:pPr>
        <w:pStyle w:val="Compact"/>
        <w:numPr>
          <w:ilvl w:val="0"/>
          <w:numId w:val="1007"/>
        </w:numPr>
      </w:pPr>
      <w:r>
        <w:t xml:space="preserve">Q2 repurchase volume and average price.</w:t>
      </w:r>
    </w:p>
    <w:p>
      <w:pPr>
        <w:pStyle w:val="Compact"/>
        <w:numPr>
          <w:ilvl w:val="0"/>
          <w:numId w:val="1007"/>
        </w:numPr>
      </w:pPr>
      <w:r>
        <w:t xml:space="preserve">Whether management sees the post-preannouncement decline as an opportunity to accelerate purchases.</w:t>
      </w:r>
    </w:p>
    <w:p>
      <w:pPr>
        <w:pStyle w:val="Compact"/>
        <w:numPr>
          <w:ilvl w:val="0"/>
          <w:numId w:val="1007"/>
        </w:numPr>
      </w:pPr>
      <w:r>
        <w:t xml:space="preserve">The balance between buybacks and the unchanged</w:t>
      </w:r>
      <w:r>
        <w:t xml:space="preserve"> </w:t>
      </w:r>
      <m:oMath>
        <m:r>
          <m:t>5.0</m:t>
        </m:r>
        <m:r>
          <m:t>b</m:t>
        </m:r>
        <m:r>
          <m:t>i</m:t>
        </m:r>
        <m:r>
          <m:t>l</m:t>
        </m:r>
        <m:r>
          <m:t>l</m:t>
        </m:r>
        <m:r>
          <m:t>i</m:t>
        </m:r>
        <m:r>
          <m:t>o</m:t>
        </m:r>
        <m:r>
          <m:t>n</m:t>
        </m:r>
        <m:r>
          <m:rPr>
            <m:sty m:val="p"/>
          </m:rPr>
          <m:t>–</m:t>
        </m:r>
      </m:oMath>
      <w:r>
        <w:t xml:space="preserve">5.5 billion capital-investment plan.</w:t>
      </w:r>
    </w:p>
    <w:p>
      <w:pPr>
        <w:pStyle w:val="Compact"/>
        <w:numPr>
          <w:ilvl w:val="0"/>
          <w:numId w:val="1007"/>
        </w:numPr>
      </w:pPr>
      <w:r>
        <w:t xml:space="preserve">Any change in leverage tolerance given approximately $48 billion of debt at the end of Q1.</w:t>
      </w:r>
    </w:p>
    <w:p>
      <w:pPr>
        <w:pStyle w:val="FirstParagraph"/>
      </w:pPr>
      <w:r>
        <w:t xml:space="preserve">Aggressive repurchases could support EPS, but they do not resolve the payer-mix and margin questions that will determine the stock’s valuation.</w:t>
      </w:r>
    </w:p>
    <w:bookmarkEnd w:id="20"/>
    <w:bookmarkStart w:id="23" w:name="bull-and-bear-cases"/>
    <w:p>
      <w:pPr>
        <w:pStyle w:val="Heading2"/>
      </w:pPr>
      <w:r>
        <w:t xml:space="preserve">Bull and bear cases</w:t>
      </w:r>
    </w:p>
    <w:bookmarkStart w:id="21" w:name="bull-case"/>
    <w:p>
      <w:pPr>
        <w:pStyle w:val="Heading3"/>
      </w:pPr>
      <w:r>
        <w:t xml:space="preserve">Bull case</w:t>
      </w:r>
    </w:p>
    <w:p>
      <w:pPr>
        <w:pStyle w:val="Compact"/>
        <w:numPr>
          <w:ilvl w:val="0"/>
          <w:numId w:val="1008"/>
        </w:numPr>
      </w:pPr>
      <w:r>
        <w:t xml:space="preserve">Exchange losses peaked during Q2 and remain within the revised annual range.</w:t>
      </w:r>
    </w:p>
    <w:p>
      <w:pPr>
        <w:pStyle w:val="Compact"/>
        <w:numPr>
          <w:ilvl w:val="0"/>
          <w:numId w:val="1008"/>
        </w:numPr>
      </w:pPr>
      <w:r>
        <w:t xml:space="preserve">Surgical activity improves during the second half.</w:t>
      </w:r>
    </w:p>
    <w:p>
      <w:pPr>
        <w:pStyle w:val="Compact"/>
        <w:numPr>
          <w:ilvl w:val="0"/>
          <w:numId w:val="1008"/>
        </w:numPr>
      </w:pPr>
      <w:r>
        <w:t xml:space="preserve">Medicaid supplemental benefits prove more durable than investors currently assume.</w:t>
      </w:r>
    </w:p>
    <w:p>
      <w:pPr>
        <w:pStyle w:val="Compact"/>
        <w:numPr>
          <w:ilvl w:val="0"/>
          <w:numId w:val="1008"/>
        </w:numPr>
      </w:pPr>
      <w:r>
        <w:t xml:space="preserve">Labor productivity and resiliency initiatives stabilize margins.</w:t>
      </w:r>
    </w:p>
    <w:p>
      <w:pPr>
        <w:pStyle w:val="Compact"/>
        <w:numPr>
          <w:ilvl w:val="0"/>
          <w:numId w:val="1008"/>
        </w:numPr>
      </w:pPr>
      <w:r>
        <w:t xml:space="preserve">HCA reaches at least the midpoint of guidance while repurchasing stock at a materially lower valuation.</w:t>
      </w:r>
    </w:p>
    <w:p>
      <w:pPr>
        <w:pStyle w:val="Compact"/>
        <w:numPr>
          <w:ilvl w:val="0"/>
          <w:numId w:val="1008"/>
        </w:numPr>
      </w:pPr>
      <w:r>
        <w:t xml:space="preserve">The insurance disruption proves manageable rather than a multiyear structural reset.</w:t>
      </w:r>
    </w:p>
    <w:bookmarkEnd w:id="21"/>
    <w:bookmarkStart w:id="22" w:name="bear-case"/>
    <w:p>
      <w:pPr>
        <w:pStyle w:val="Heading3"/>
      </w:pPr>
      <w:r>
        <w:t xml:space="preserve">Bear case</w:t>
      </w:r>
    </w:p>
    <w:p>
      <w:pPr>
        <w:pStyle w:val="Compact"/>
        <w:numPr>
          <w:ilvl w:val="0"/>
          <w:numId w:val="1009"/>
        </w:numPr>
      </w:pPr>
      <w:r>
        <w:t xml:space="preserve">Exchange attrition and uncompensated care continue to worsen.</w:t>
      </w:r>
    </w:p>
    <w:p>
      <w:pPr>
        <w:pStyle w:val="Compact"/>
        <w:numPr>
          <w:ilvl w:val="0"/>
          <w:numId w:val="1009"/>
        </w:numPr>
      </w:pPr>
      <w:r>
        <w:t xml:space="preserve">Lower surgical volumes reflect affordability problems rather than quarterly timing.</w:t>
      </w:r>
    </w:p>
    <w:p>
      <w:pPr>
        <w:pStyle w:val="Compact"/>
        <w:numPr>
          <w:ilvl w:val="0"/>
          <w:numId w:val="1009"/>
        </w:numPr>
      </w:pPr>
      <w:r>
        <w:t xml:space="preserve">The Florida Medicaid benefit is largely a one-time catch-up masking weak core EBITDA.</w:t>
      </w:r>
    </w:p>
    <w:p>
      <w:pPr>
        <w:pStyle w:val="Compact"/>
        <w:numPr>
          <w:ilvl w:val="0"/>
          <w:numId w:val="1009"/>
        </w:numPr>
      </w:pPr>
      <w:r>
        <w:t xml:space="preserve">HCA needs another guidance reduction later in 2026.</w:t>
      </w:r>
    </w:p>
    <w:p>
      <w:pPr>
        <w:pStyle w:val="Compact"/>
        <w:numPr>
          <w:ilvl w:val="0"/>
          <w:numId w:val="1009"/>
        </w:numPr>
      </w:pPr>
      <w:r>
        <w:t xml:space="preserve">The 2027 earnings baseline begins below current expectations as supplemental-payment benefits normalize while uninsured pressure persists.</w:t>
      </w:r>
    </w:p>
    <w:p>
      <w:pPr>
        <w:pStyle w:val="Compact"/>
        <w:numPr>
          <w:ilvl w:val="0"/>
          <w:numId w:val="1009"/>
        </w:numPr>
      </w:pPr>
      <w:r>
        <w:t xml:space="preserve">Continued buybacks amplify EPS but leave underlying EBITDA growth and margins subdued.</w:t>
      </w:r>
    </w:p>
    <w:bookmarkEnd w:id="22"/>
    <w:bookmarkEnd w:id="23"/>
    <w:bookmarkStart w:id="24" w:name="bottom-line"/>
    <w:p>
      <w:pPr>
        <w:pStyle w:val="Heading2"/>
      </w:pPr>
      <w:r>
        <w:t xml:space="preserve">Bottom line</w:t>
      </w:r>
    </w:p>
    <w:p>
      <w:pPr>
        <w:pStyle w:val="FirstParagraph"/>
      </w:pPr>
      <w:r>
        <w:t xml:space="preserve">The headline quarter has already been released, and it is unlikely that small final adjustments to revenue or EPS will drive the investment reaction. The call will instead be a test of management’s credibility around the revised outlook.</w:t>
      </w:r>
    </w:p>
    <w:p>
      <w:pPr>
        <w:pStyle w:val="BodyText"/>
      </w:pPr>
      <w:r>
        <w:t xml:space="preserve">The most important disclosure would be a clean earnings bridge separating:</w:t>
      </w:r>
    </w:p>
    <w:p>
      <w:pPr>
        <w:pStyle w:val="Compact"/>
        <w:numPr>
          <w:ilvl w:val="0"/>
          <w:numId w:val="1010"/>
        </w:numPr>
      </w:pPr>
      <w:r>
        <w:rPr>
          <w:b/>
          <w:bCs/>
        </w:rPr>
        <w:t xml:space="preserve">Core volume, pricing and costs</w:t>
      </w:r>
    </w:p>
    <w:p>
      <w:pPr>
        <w:pStyle w:val="Compact"/>
        <w:numPr>
          <w:ilvl w:val="0"/>
          <w:numId w:val="1010"/>
        </w:numPr>
      </w:pPr>
      <w:r>
        <w:rPr>
          <w:b/>
          <w:bCs/>
        </w:rPr>
        <w:t xml:space="preserve">Exchange-related payer-mix losses</w:t>
      </w:r>
    </w:p>
    <w:p>
      <w:pPr>
        <w:pStyle w:val="Compact"/>
        <w:numPr>
          <w:ilvl w:val="0"/>
          <w:numId w:val="1010"/>
        </w:numPr>
      </w:pPr>
      <w:r>
        <w:rPr>
          <w:b/>
          <w:bCs/>
        </w:rPr>
        <w:t xml:space="preserve">Surgical service-mix pressure</w:t>
      </w:r>
    </w:p>
    <w:p>
      <w:pPr>
        <w:pStyle w:val="Compact"/>
        <w:numPr>
          <w:ilvl w:val="0"/>
          <w:numId w:val="1010"/>
        </w:numPr>
      </w:pPr>
      <w:r>
        <w:rPr>
          <w:b/>
          <w:bCs/>
        </w:rPr>
        <w:t xml:space="preserve">Medicaid supplemental-payment benefits</w:t>
      </w:r>
    </w:p>
    <w:p>
      <w:pPr>
        <w:pStyle w:val="Compact"/>
        <w:numPr>
          <w:ilvl w:val="0"/>
          <w:numId w:val="1010"/>
        </w:numPr>
      </w:pPr>
      <w:r>
        <w:rPr>
          <w:b/>
          <w:bCs/>
        </w:rPr>
        <w:t xml:space="preserve">Resiliency savings</w:t>
      </w:r>
    </w:p>
    <w:p>
      <w:pPr>
        <w:pStyle w:val="FirstParagraph"/>
      </w:pPr>
      <w:r>
        <w:t xml:space="preserve">A constructive call would establish that Q2 represented the peak exchange disruption, that surgery is recovering, and that the revised guidance contains adequate conservatism. Without that evidence, investors are likely to view the preliminary EPS beat as buyback-assisted and the Medicaid benefit as temporary—leaving the focus squarely on margin compression and the risk to 2027 earnings.</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hcahealthcare.com/news/news-details/2026/HCA-Healthcare-Previews-Second-Quarter-2026-Results/default.aspx?utm_source=openai" TargetMode="External" /><Relationship Type="http://schemas.openxmlformats.org/officeDocument/2006/relationships/hyperlink" Id="rId13" Target="https://investor.hcahealthcare.com/news/news-details/2026/HCA-Healthcare-Reports-First-Quarter-2026-Results/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hcahealthcare.com/news/news-details/2026/HCA-Healthcare-Previews-Second-Quarter-2026-Results/default.aspx?utm_source=openai" TargetMode="External" /><Relationship Type="http://schemas.openxmlformats.org/officeDocument/2006/relationships/hyperlink" Id="rId13" Target="https://investor.hcahealthcare.com/news/news-details/2026/HCA-Healthcare-Reports-First-Quarter-2026-Results/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2026-07-24T00:14:34Z</dcterms:created>
  <dcterms:modified xsi:type="dcterms:W3CDTF">2026-07-24T00:14:34Z</dcterms:modified>
</cp:coreProperties>
</file>

<file path=docProps/custom.xml><?xml version="1.0" encoding="utf-8"?>
<Properties xmlns="http://schemas.openxmlformats.org/officeDocument/2006/custom-properties" xmlns:vt="http://schemas.openxmlformats.org/officeDocument/2006/docPropsVTypes"/>
</file>