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hca-earnings-predictions--2026-07-24"/>
    <w:p>
      <w:pPr>
        <w:pStyle w:val="Heading1"/>
      </w:pPr>
      <w:r>
        <w:t xml:space="preserve">HCA Earnings Predictions — 2026-07-24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HCA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~$7.62 vs. cons $7.47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HCA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~$20.23B vs. cons $19.43B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HCA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~$4.03B vs. cons $3.95B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HCA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diluted EPS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~$29.60 vs. cons $30.30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HCA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EBITDA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~$15.75B vs. cons $15.95B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HCA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revenue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~$78.25B vs. cons $78.20B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HCA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health-insurance-exchange pre-tax headwind assumption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~(</w:t>
            </w:r>
            <m:oMath>
              <m:r>
                <m:t>1.10</m:t>
              </m:r>
              <m:r>
                <m:t>B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  <m:r>
                <m:rPr>
                  <m:sty m:val="p"/>
                </m:rPr>
                <m:t>(</m:t>
              </m:r>
            </m:oMath>
            <w:r>
              <w:t xml:space="preserve">1.00B)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HCA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HCA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-1.5% (FADE)</w:t>
            </w:r>
          </w:p>
        </w:tc>
        <w:tc>
          <w:tcPr/>
          <w:p>
            <w:pPr>
              <w:pStyle w:val="Compact"/>
            </w:pPr>
            <w:r>
              <w:t xml:space="preserve">Day-1 relief is likely if final 2Q26 results remain near the preannounced ~</w:t>
            </w:r>
            <m:oMath>
              <m:r>
                <m:t>7.62</m:t>
              </m:r>
              <m:r>
                <m:t>E</m:t>
              </m:r>
              <m:r>
                <m:t>P</m:t>
              </m:r>
              <m:r>
                <m:t>S</m:t>
              </m:r>
              <m:r>
                <m:t>a</m:t>
              </m:r>
              <m:r>
                <m:t>n</m:t>
              </m:r>
              <m:r>
                <m:t>d</m:t>
              </m:r>
              <m:r>
                <m:t> </m:t>
              </m:r>
            </m:oMath>
            <w:r>
              <w:t xml:space="preserve">4.03B EBITDA, but FY26 EPS guidance of roughly</w:t>
            </w:r>
            <w:r>
              <w:t xml:space="preserve"> </w:t>
            </w:r>
            <m:oMath>
              <m:r>
                <m:t>29.60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30.30 consensus leaves out-period earnings math lower; continued exchange-headwind uncertainty and weak surgery mix should drive further estimate reductions.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2026-07-24T00:13:11Z</dcterms:created>
  <dcterms:modified xsi:type="dcterms:W3CDTF">2026-07-24T00:13:11Z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