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e89bc7755b996d4420721b64ff85ff50483bd1"/>
    <w:p>
      <w:pPr>
        <w:pStyle w:val="Heading1"/>
      </w:pPr>
      <w:r>
        <w:t xml:space="preserve">HCA Healthcare (NYSE: HCA) — 2Q26 Earnings-Call Preview</w:t>
      </w:r>
    </w:p>
    <w:p>
      <w:pPr>
        <w:pStyle w:val="BlockText"/>
      </w:pPr>
      <w:r>
        <w:rPr>
          <w:b/>
          <w:bCs/>
        </w:rPr>
        <w:t xml:space="preserve">Timing clarification:</w:t>
      </w:r>
      <w:r>
        <w:t xml:space="preserve"> </w:t>
      </w:r>
      <w:r>
        <w:t xml:space="preserve">The call is</w:t>
      </w:r>
      <w:r>
        <w:t xml:space="preserve"> </w:t>
      </w:r>
      <w:r>
        <w:rPr>
          <w:b/>
          <w:bCs/>
        </w:rPr>
        <w:t xml:space="preserve">today, Friday, July 24, 2026, at 9:00 a.m. Central Time</w:t>
      </w:r>
      <w:r>
        <w:t xml:space="preserve">—not tomorrow. More importantly, HCA</w:t>
      </w:r>
      <w:r>
        <w:t xml:space="preserve"> </w:t>
      </w:r>
      <w:r>
        <w:rPr>
          <w:b/>
          <w:bCs/>
        </w:rPr>
        <w:t xml:space="preserve">preannounced preliminary 2Q results and revised full-year guidance on July 14</w:t>
      </w:r>
      <w:r>
        <w:t xml:space="preserve">. Therefore, this is less a conventional “earnings beat/miss” setup than a</w:t>
      </w:r>
      <w:r>
        <w:t xml:space="preserve"> </w:t>
      </w:r>
      <w:r>
        <w:rPr>
          <w:b/>
          <w:bCs/>
        </w:rPr>
        <w:t xml:space="preserve">call-driven assessment of the durability of earnings after a negative payer-mix reset</w:t>
      </w:r>
      <w:r>
        <w:t xml:space="preserve">. (</w:t>
      </w:r>
      <w:hyperlink r:id="rId9">
        <w:r>
          <w:rPr>
            <w:rStyle w:val="Hyperlink"/>
          </w:rPr>
          <w:t xml:space="preserve">investor.hcahealthcare.com</w:t>
        </w:r>
      </w:hyperlink>
      <w:r>
        <w:t xml:space="preserve">)</w:t>
      </w:r>
    </w:p>
    <w:bookmarkStart w:id="10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HCA’s headline 2Q numbers were better than expected, but the market has already focused on the more important issue:</w:t>
      </w:r>
      <w:r>
        <w:t xml:space="preserve"> </w:t>
      </w:r>
      <w:r>
        <w:rPr>
          <w:b/>
          <w:bCs/>
        </w:rPr>
        <w:t xml:space="preserve">commercially insured exchange members are shifting into uninsured status, while surgical volumes weakened.</w:t>
      </w:r>
      <w:r>
        <w:t xml:space="preserve"> </w:t>
      </w:r>
      <w:r>
        <w:t xml:space="preserve">The July 24 call needs to establish whether this was a contained 2Q step-down or the beginning of a more material, recurring pressure on revenue yield, bad debt, and margins.</w:t>
      </w:r>
    </w:p>
    <w:p>
      <w:pPr>
        <w:pStyle w:val="BodyText"/>
      </w:pPr>
      <w:r>
        <w:t xml:space="preserve">The stock has already repriced meaningfully: it closed at</w:t>
      </w:r>
      <w:r>
        <w:t xml:space="preserve"> </w:t>
      </w:r>
      <w:r>
        <w:rPr>
          <w:b/>
          <w:bCs/>
        </w:rPr>
        <w:t xml:space="preserve">$376.54 on July 23</w:t>
      </w:r>
      <w:r>
        <w:t xml:space="preserve">, roughly</w:t>
      </w:r>
      <w:r>
        <w:t xml:space="preserve"> </w:t>
      </w:r>
      <w:r>
        <w:rPr>
          <w:b/>
          <w:bCs/>
        </w:rPr>
        <w:t xml:space="preserve">19.3% below</w:t>
      </w:r>
      <w:r>
        <w:t xml:space="preserve"> </w:t>
      </w:r>
      <w:r>
        <w:t xml:space="preserve">its December 31, 2025 close, following a sharp sell-off after the July 14 preannouncement.</w:t>
      </w:r>
    </w:p>
    <w:bookmarkEnd w:id="10"/>
    <w:bookmarkStart w:id="12" w:name="what-hca-has-already-disclosed"/>
    <w:p>
      <w:pPr>
        <w:pStyle w:val="Heading2"/>
      </w:pPr>
      <w:r>
        <w:t xml:space="preserve">What HCA has already disclosed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Preliminary 2Q26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2Q25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YoY change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$20.23B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$18.61B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+8.7%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Diluted EPS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$7.62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$6.83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+11.6%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$4.03B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$3.85B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+4.6%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EBITDA margin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19.9%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20.7%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–80 bps</w:t>
            </w:r>
          </w:p>
        </w:tc>
      </w:tr>
      <w:tr>
        <w:tc>
          <w:tcPr/>
          <w:p>
            <w:pPr>
              <w:pStyle w:val="Compact"/>
            </w:pPr>
            <w:r>
              <w:t xml:space="preserve">Same-facility admissions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+2.5%</w:t>
            </w:r>
          </w:p>
        </w:tc>
      </w:tr>
      <w:tr>
        <w:tc>
          <w:tcPr/>
          <w:p>
            <w:pPr>
              <w:pStyle w:val="Compact"/>
            </w:pPr>
            <w:r>
              <w:t xml:space="preserve">Same-facility equivalent admissions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+2.7%</w:t>
            </w:r>
          </w:p>
        </w:tc>
      </w:tr>
      <w:tr>
        <w:tc>
          <w:tcPr/>
          <w:p>
            <w:pPr>
              <w:pStyle w:val="Compact"/>
            </w:pPr>
            <w:r>
              <w:t xml:space="preserve">ER visits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+3.6%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Inpatient surgeries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–2.3%</w:t>
            </w:r>
          </w:p>
        </w:tc>
      </w:tr>
      <w:tr>
        <w:tc>
          <w:tcPr/>
          <w:p>
            <w:pPr>
              <w:pStyle w:val="Compact"/>
            </w:pPr>
            <w:r>
              <w:t xml:space="preserve">Outpatient surgeries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–3.4%</w:t>
            </w:r>
          </w:p>
        </w:tc>
      </w:tr>
    </w:tbl>
    <w:p>
      <w:pPr>
        <w:pStyle w:val="BodyText"/>
      </w:pPr>
      <w:r>
        <w:t xml:space="preserve">Preliminary revenue of $20.23 billion exceeded the approximately $19.43 billion analyst expectation reported by Reuters, while preliminary EPS of $7.62 also exceeded prevailing expectations. But the headline beat did not offset the reduction in the earnings outlook. (</w:t>
      </w:r>
      <w:hyperlink r:id="rId11">
        <w:r>
          <w:rPr>
            <w:rStyle w:val="Hyperlink"/>
          </w:rPr>
          <w:t xml:space="preserve">sahmcapital.com</w:t>
        </w:r>
      </w:hyperlink>
      <w:r>
        <w:t xml:space="preserve">)</w:t>
      </w:r>
    </w:p>
    <w:bookmarkEnd w:id="12"/>
    <w:bookmarkStart w:id="13" w:name="the-central-debate-payer-mix-not-volume"/>
    <w:p>
      <w:pPr>
        <w:pStyle w:val="Heading2"/>
      </w:pPr>
      <w:r>
        <w:t xml:space="preserve">The central debate: payer mix, not volume</w:t>
      </w:r>
    </w:p>
    <w:p>
      <w:pPr>
        <w:pStyle w:val="FirstParagraph"/>
      </w:pPr>
      <w:r>
        <w:t xml:space="preserve">The important negative disclosure was a</w:t>
      </w:r>
      <w:r>
        <w:t xml:space="preserve"> </w:t>
      </w:r>
      <w:r>
        <w:rPr>
          <w:b/>
          <w:bCs/>
        </w:rPr>
        <w:t xml:space="preserve">roughly</w:t>
      </w:r>
      <w:r>
        <w:rPr>
          <w:b/>
          <w:bCs/>
        </w:rPr>
        <w:t xml:space="preserve"> </w:t>
      </w:r>
      <m:oMath>
        <m:r>
          <m:t>400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u</m:t>
        </m:r>
        <m:r>
          <m:t>n</m:t>
        </m:r>
        <m:r>
          <m:t>f</m:t>
        </m:r>
        <m:r>
          <m:t>a</m:t>
        </m:r>
        <m:r>
          <m:t>v</m:t>
        </m:r>
        <m:r>
          <m:t>o</m:t>
        </m:r>
        <m:r>
          <m:t>r</m:t>
        </m:r>
        <m:r>
          <m:t>a</m:t>
        </m:r>
        <m:r>
          <m:t>b</m:t>
        </m:r>
        <m:r>
          <m:t>l</m:t>
        </m:r>
        <m:r>
          <m:t>e</m:t>
        </m:r>
        <m:r>
          <m:t>i</m:t>
        </m:r>
        <m:r>
          <m:t>m</m:t>
        </m:r>
        <m:r>
          <m:t>p</m:t>
        </m:r>
        <m:r>
          <m:t>a</m:t>
        </m:r>
        <m:r>
          <m:t>c</m:t>
        </m:r>
        <m:r>
          <m:t>t</m:t>
        </m:r>
        <m:r>
          <m:t>o</m:t>
        </m:r>
        <m:r>
          <m:t>n</m:t>
        </m:r>
        <m:r>
          <m:t>i</m:t>
        </m:r>
        <m:r>
          <m:t>n</m:t>
        </m:r>
        <m:r>
          <m:t>c</m:t>
        </m:r>
        <m:r>
          <m:t>o</m:t>
        </m:r>
        <m:r>
          <m:t>m</m:t>
        </m:r>
        <m:r>
          <m:t>e</m:t>
        </m:r>
        <m:r>
          <m:t>b</m:t>
        </m:r>
        <m:r>
          <m:t>e</m:t>
        </m:r>
        <m:r>
          <m:t>f</m:t>
        </m:r>
        <m:r>
          <m:t>o</m:t>
        </m:r>
        <m:r>
          <m:t>r</m:t>
        </m:r>
        <m:r>
          <m:t>e</m:t>
        </m:r>
        <m:r>
          <m:t>t</m:t>
        </m:r>
        <m:r>
          <m:t>a</m:t>
        </m:r>
        <m:r>
          <m:t>x</m:t>
        </m:r>
        <m:r>
          <m:t>e</m:t>
        </m:r>
        <m:r>
          <m:t>s</m:t>
        </m:r>
        <m:r>
          <m:t>i</m:t>
        </m:r>
        <m:r>
          <m:t>n</m:t>
        </m:r>
        <m:r>
          <m:t>2</m:t>
        </m:r>
        <m:r>
          <m:t>Q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f</m:t>
        </m:r>
        <m:r>
          <m:t>r</m:t>
        </m:r>
        <m:r>
          <m:t>o</m:t>
        </m:r>
        <m:r>
          <m:t>m</m:t>
        </m:r>
        <m:r>
          <m:t>p</m:t>
        </m:r>
        <m:r>
          <m:t>a</m:t>
        </m:r>
        <m:r>
          <m:t>y</m:t>
        </m:r>
        <m:r>
          <m:t>e</m:t>
        </m:r>
        <m:r>
          <m:t>r</m:t>
        </m:r>
        <m:r>
          <m:t>m</m:t>
        </m:r>
        <m:r>
          <m:t>i</m:t>
        </m:r>
        <m:r>
          <m:t>x</m:t>
        </m:r>
        <m:r>
          <m:rPr>
            <m:sty m:val="p"/>
          </m:rPr>
          <m:t>,</m:t>
        </m:r>
        <m:r>
          <m:t>p</m:t>
        </m:r>
        <m:r>
          <m:t>r</m:t>
        </m:r>
        <m:r>
          <m:t>i</m:t>
        </m:r>
        <m:r>
          <m:t>n</m:t>
        </m:r>
        <m:r>
          <m:t>c</m:t>
        </m:r>
        <m:r>
          <m:t>i</m:t>
        </m:r>
        <m:r>
          <m:t>p</m:t>
        </m:r>
        <m:r>
          <m:t>a</m:t>
        </m:r>
        <m:r>
          <m:t>l</m:t>
        </m:r>
        <m:r>
          <m:t>l</m:t>
        </m:r>
        <m:r>
          <m:t>y</m:t>
        </m:r>
        <m:r>
          <m:t>m</m:t>
        </m:r>
        <m:r>
          <m:t>o</m:t>
        </m:r>
        <m:r>
          <m:t>r</m:t>
        </m:r>
        <m:r>
          <m:t>e</m:t>
        </m:r>
        <m:r>
          <m:t>u</m:t>
        </m:r>
        <m:r>
          <m:t>n</m:t>
        </m:r>
        <m:r>
          <m:t>i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d</m:t>
        </m:r>
        <m:r>
          <m:t>p</m:t>
        </m:r>
        <m:r>
          <m:t>a</m:t>
        </m:r>
        <m:r>
          <m:t>t</m:t>
        </m:r>
        <m:r>
          <m:t>i</m:t>
        </m:r>
        <m:r>
          <m:t>e</m:t>
        </m:r>
        <m:r>
          <m:t>n</m:t>
        </m:r>
        <m:r>
          <m:t>t</m:t>
        </m:r>
        <m:r>
          <m:t>s</m:t>
        </m:r>
        <m:r>
          <m:t>w</m:t>
        </m:r>
        <m:r>
          <m:t>h</m:t>
        </m:r>
        <m:r>
          <m:t>o</m:t>
        </m:r>
        <m:r>
          <m:t>l</m:t>
        </m:r>
        <m:r>
          <m:t>o</m:t>
        </m:r>
        <m:r>
          <m:t>s</m:t>
        </m:r>
        <m:r>
          <m:t>t</m:t>
        </m:r>
        <m:r>
          <m:t>e</m:t>
        </m:r>
        <m:r>
          <m:t>x</m:t>
        </m:r>
        <m:r>
          <m:t>c</m:t>
        </m:r>
        <m:r>
          <m:t>h</m:t>
        </m:r>
        <m:r>
          <m:t>a</m:t>
        </m:r>
        <m:r>
          <m:t>n</m:t>
        </m:r>
        <m:r>
          <m:t>g</m:t>
        </m:r>
        <m:r>
          <m:t>e</m:t>
        </m:r>
        <m:r>
          <m:t>c</m:t>
        </m:r>
        <m:r>
          <m:t>o</m:t>
        </m:r>
        <m:r>
          <m:t>v</m:t>
        </m:r>
        <m:r>
          <m:t>e</m:t>
        </m:r>
        <m:r>
          <m:t>r</m:t>
        </m:r>
        <m:r>
          <m:t>a</m:t>
        </m:r>
        <m:r>
          <m:t>g</m:t>
        </m:r>
        <m:r>
          <m:t>e</m:t>
        </m:r>
        <m:r>
          <m:rPr>
            <m:sty m:val="p"/>
          </m:rPr>
          <m:t>.</m:t>
        </m:r>
        <m:r>
          <m:t>T</m:t>
        </m:r>
        <m:r>
          <m:t>h</m:t>
        </m:r>
        <m:r>
          <m:t>a</m:t>
        </m:r>
        <m:r>
          <m:t>t</m:t>
        </m:r>
        <m:r>
          <m:t>f</m:t>
        </m:r>
        <m:r>
          <m:t>i</m:t>
        </m:r>
        <m:r>
          <m:t>g</m:t>
        </m:r>
        <m:r>
          <m:t>u</m:t>
        </m:r>
        <m:r>
          <m:t>r</m:t>
        </m:r>
        <m:r>
          <m:t>e</m:t>
        </m:r>
        <m:r>
          <m:t>i</m:t>
        </m:r>
        <m:r>
          <m:t>n</m:t>
        </m:r>
        <m:r>
          <m:t>c</m:t>
        </m:r>
        <m:r>
          <m:t>l</m:t>
        </m:r>
        <m:r>
          <m:t>u</m:t>
        </m:r>
        <m:r>
          <m:t>d</m:t>
        </m:r>
        <m:r>
          <m:t>e</m:t>
        </m:r>
        <m:r>
          <m:t>d</m:t>
        </m:r>
        <m:r>
          <m:t>a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75 million upward revision</w:t>
      </w:r>
      <w:r>
        <w:t xml:space="preserve"> </w:t>
      </w:r>
      <w:r>
        <w:t xml:space="preserve">to HCA’s prior estimate of the first-quarter exchange impact.</w:t>
      </w:r>
    </w:p>
    <w:p>
      <w:pPr>
        <w:pStyle w:val="BodyText"/>
      </w:pPr>
      <w:r>
        <w:t xml:space="preserve">HCA now expects the full-year unfavorable impact from health-insurance exchanges to reach</w:t>
      </w:r>
      <w:r>
        <w:t xml:space="preserve"> </w:t>
      </w:r>
      <m:oMath>
        <m:r>
          <m:t>1.0</m:t>
        </m:r>
        <m:r>
          <m:rPr>
            <m:sty m:val="p"/>
          </m:rPr>
          <m:t>–</m:t>
        </m:r>
      </m:oMath>
      <w:r>
        <w:rPr>
          <w:b/>
          <w:bCs/>
        </w:rPr>
        <w:t xml:space="preserve">1.2 billion</w:t>
      </w:r>
      <w:r>
        <w:t xml:space="preserve">, versus its April estimate of</w:t>
      </w:r>
      <w:r>
        <w:t xml:space="preserve"> </w:t>
      </w:r>
      <m:oMath>
        <m:r>
          <m:t>600</m:t>
        </m:r>
        <m:r>
          <m:rPr>
            <m:sty m:val="p"/>
          </m:rPr>
          <m:t>–</m:t>
        </m:r>
      </m:oMath>
      <w:r>
        <w:rPr>
          <w:b/>
          <w:bCs/>
        </w:rPr>
        <w:t xml:space="preserve">900 million</w:t>
      </w:r>
      <w:r>
        <w:t xml:space="preserve">. This is the key reason the call matters: investors need visibility into whether HCA’s revised range is sufficiently conservative.</w:t>
      </w:r>
    </w:p>
    <w:p>
      <w:pPr>
        <w:pStyle w:val="BodyText"/>
      </w:pPr>
      <w:r>
        <w:t xml:space="preserve">There are several layers to watch: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Uninsured migration and collections.</w:t>
      </w:r>
      <w:r>
        <w:t xml:space="preserve"> </w:t>
      </w:r>
      <w:r>
        <w:t xml:space="preserve">A volume shift from exchange plans to uninsured patients is not simply a mix change; it raises the risk of lower net revenue realization and higher uncompensated care. In 1Q, HCA’s estimated cost of total uncompensated care increased to $1.25 billion from $1.06 billion a year earlier.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The grace-period issue.</w:t>
      </w:r>
      <w:r>
        <w:t xml:space="preserve"> </w:t>
      </w:r>
      <w:r>
        <w:t xml:space="preserve">Management previously noted that exchange patients can receive care during a coverage grace period that ultimately may not be paid by the insurer. The call should address whether its reserve methodology and revenue recognition assumptions have now fully captured this attrition.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Surgical softness.</w:t>
      </w:r>
      <w:r>
        <w:t xml:space="preserve"> </w:t>
      </w:r>
      <w:r>
        <w:t xml:space="preserve">Admissions and ER traffic were healthy, but inpatient and outpatient surgeries declined. Since surgery is typically a higher-value service category, the mix effect matters disproportionately for revenue per equivalent admission and margins.</w:t>
      </w:r>
    </w:p>
    <w:bookmarkEnd w:id="13"/>
    <w:bookmarkStart w:id="14" w:name="X99cd20c839681ff0133155db3c4d5a0a9215204"/>
    <w:p>
      <w:pPr>
        <w:pStyle w:val="Heading2"/>
      </w:pPr>
      <w:r>
        <w:t xml:space="preserve">Medicaid supplemental payments: major offset, but not clean earnings</w:t>
      </w:r>
    </w:p>
    <w:p>
      <w:pPr>
        <w:pStyle w:val="FirstParagraph"/>
      </w:pPr>
      <w:r>
        <w:t xml:space="preserve">The preliminary release also included approximately</w:t>
      </w:r>
      <w:r>
        <w:t xml:space="preserve"> </w:t>
      </w:r>
      <w:r>
        <w:rPr>
          <w:b/>
          <w:bCs/>
        </w:rPr>
        <w:t xml:space="preserve">$400 million of incremental net benefit from Medicaid supplemental-payment programs</w:t>
      </w:r>
      <w:r>
        <w:t xml:space="preserve">, primarily tied to a Florida state-directed payment program covering</w:t>
      </w:r>
      <w:r>
        <w:t xml:space="preserve"> </w:t>
      </w:r>
      <w:r>
        <w:rPr>
          <w:b/>
          <w:bCs/>
        </w:rPr>
        <w:t xml:space="preserve">October 1, 2024 through June 30, 2026</w:t>
      </w:r>
      <w:r>
        <w:t xml:space="preserve">.</w:t>
      </w:r>
    </w:p>
    <w:p>
      <w:pPr>
        <w:pStyle w:val="BodyText"/>
      </w:pPr>
      <w:r>
        <w:t xml:space="preserve">This is a significant positive, but it also complicates the quality of the quarter:</w:t>
      </w:r>
    </w:p>
    <w:p>
      <w:pPr>
        <w:pStyle w:val="Compact"/>
        <w:numPr>
          <w:ilvl w:val="0"/>
          <w:numId w:val="1002"/>
        </w:numPr>
      </w:pPr>
      <w:r>
        <w:t xml:space="preserve">The Medicaid benefit largely offset the unfavorable exchange-related payer-mix impact in 2Q.</w:t>
      </w:r>
    </w:p>
    <w:p>
      <w:pPr>
        <w:pStyle w:val="Compact"/>
        <w:numPr>
          <w:ilvl w:val="0"/>
          <w:numId w:val="1002"/>
        </w:numPr>
      </w:pPr>
      <w:r>
        <w:t xml:space="preserve">It includes a meaningful prior-period component, so investors should be cautious about annualizing the benefit.</w:t>
      </w:r>
    </w:p>
    <w:p>
      <w:pPr>
        <w:pStyle w:val="Compact"/>
        <w:numPr>
          <w:ilvl w:val="0"/>
          <w:numId w:val="1002"/>
        </w:numPr>
      </w:pPr>
      <w:r>
        <w:t xml:space="preserve">HCA’s revised full-year assumption for Medicaid supplemental-payment programs is now a</w:t>
      </w:r>
      <w:r>
        <w:t xml:space="preserve"> </w:t>
      </w:r>
      <m:oMath>
        <m:r>
          <m:t>300</m:t>
        </m:r>
        <m:r>
          <m:rPr>
            <m:sty m:val="p"/>
          </m:rPr>
          <m:t>–</m:t>
        </m:r>
      </m:oMath>
      <w:r>
        <w:rPr>
          <w:b/>
          <w:bCs/>
        </w:rPr>
        <w:t xml:space="preserve">500 million benefit</w:t>
      </w:r>
      <w:r>
        <w:t xml:space="preserve">, compared with a prior assumption of a</w:t>
      </w:r>
      <w:r>
        <w:t xml:space="preserve"> </w:t>
      </w:r>
      <w:r>
        <w:rPr>
          <w:b/>
          <w:bCs/>
        </w:rPr>
        <w:t xml:space="preserve">$50–250 million headwind</w:t>
      </w:r>
      <w:r>
        <w:t xml:space="preserve">.</w:t>
      </w:r>
    </w:p>
    <w:p>
      <w:pPr>
        <w:pStyle w:val="FirstParagraph"/>
      </w:pPr>
      <w:r>
        <w:t xml:space="preserve">The central question is whether the company can sustain its revised EBITDA outlook</w:t>
      </w:r>
      <w:r>
        <w:t xml:space="preserve"> </w:t>
      </w:r>
      <w:r>
        <w:rPr>
          <w:b/>
          <w:bCs/>
        </w:rPr>
        <w:t xml:space="preserve">without relying on further favorable state-program approvals</w:t>
      </w:r>
      <w:r>
        <w:t xml:space="preserve">.</w:t>
      </w:r>
    </w:p>
    <w:bookmarkEnd w:id="14"/>
    <w:bookmarkStart w:id="15" w:name="Xa38cbb09946a939b9d81915535a3228838696a4"/>
    <w:p>
      <w:pPr>
        <w:pStyle w:val="Heading2"/>
      </w:pPr>
      <w:r>
        <w:t xml:space="preserve">Guidance reset: lower earnings despite tighter revenue range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2026 guidance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Prior range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Revised range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Midpoint change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76.5</m:t>
              </m:r>
              <m:r>
                <m:t>B</m:t>
              </m:r>
              <m:r>
                <m:rPr>
                  <m:sty m:val="p"/>
                </m:rPr>
                <m:t>–</m:t>
              </m:r>
            </m:oMath>
            <w:r>
              <w:t xml:space="preserve">80.0B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77.0</m:t>
              </m:r>
              <m:r>
                <m:t>B</m:t>
              </m:r>
              <m:r>
                <m:rPr>
                  <m:sty m:val="p"/>
                </m:rPr>
                <m:t>–</m:t>
              </m:r>
            </m:oMath>
            <w:r>
              <w:t xml:space="preserve">79.5B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Flat / narrower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15.55</m:t>
              </m:r>
              <m:r>
                <m:t>B</m:t>
              </m:r>
              <m:r>
                <m:rPr>
                  <m:sty m:val="p"/>
                </m:rPr>
                <m:t>–</m:t>
              </m:r>
            </m:oMath>
            <w:r>
              <w:t xml:space="preserve">16.45B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15.40</m:t>
              </m:r>
              <m:r>
                <m:t>B</m:t>
              </m:r>
              <m:r>
                <m:rPr>
                  <m:sty m:val="p"/>
                </m:rPr>
                <m:t>–</m:t>
              </m:r>
            </m:oMath>
            <w:r>
              <w:t xml:space="preserve">16.10B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–$250M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income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6.50</m:t>
              </m:r>
              <m:r>
                <m:t>B</m:t>
              </m:r>
              <m:r>
                <m:rPr>
                  <m:sty m:val="p"/>
                </m:rPr>
                <m:t>–</m:t>
              </m:r>
            </m:oMath>
            <w:r>
              <w:t xml:space="preserve">7.04B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6.30</m:t>
              </m:r>
              <m:r>
                <m:t>B</m:t>
              </m:r>
              <m:r>
                <m:rPr>
                  <m:sty m:val="p"/>
                </m:rPr>
                <m:t>–</m:t>
              </m:r>
            </m:oMath>
            <w:r>
              <w:t xml:space="preserve">6.70B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–$265M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Diluted EPS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29.10</m:t>
              </m:r>
              <m:r>
                <m:rPr>
                  <m:sty m:val="p"/>
                </m:rPr>
                <m:t>–</m:t>
              </m:r>
            </m:oMath>
            <w:r>
              <w:t xml:space="preserve">31.50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28.70</m:t>
              </m:r>
              <m:r>
                <m:rPr>
                  <m:sty m:val="p"/>
                </m:rPr>
                <m:t>–</m:t>
              </m:r>
            </m:oMath>
            <w:r>
              <w:t xml:space="preserve">30.50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–$0.70</w:t>
            </w:r>
          </w:p>
        </w:tc>
      </w:tr>
    </w:tbl>
    <w:p>
      <w:pPr>
        <w:pStyle w:val="BodyText"/>
      </w:pPr>
      <w:r>
        <w:t xml:space="preserve">The revenue guide’s lower end increased, but the EBITDA and EPS ranges moved lower. That distinction reinforces the market’s concern:</w:t>
      </w:r>
      <w:r>
        <w:t xml:space="preserve"> </w:t>
      </w:r>
      <w:r>
        <w:rPr>
          <w:b/>
          <w:bCs/>
        </w:rPr>
        <w:t xml:space="preserve">the issue is not demand alone—it is the value and collectability of that demand.</w:t>
      </w:r>
    </w:p>
    <w:bookmarkEnd w:id="15"/>
    <w:bookmarkStart w:id="16" w:name="what-could-support-the-stock"/>
    <w:p>
      <w:pPr>
        <w:pStyle w:val="Heading2"/>
      </w:pPr>
      <w:r>
        <w:t xml:space="preserve">What could support the stock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Admissions and ER volume remain positive.</w:t>
      </w:r>
      <w:r>
        <w:t xml:space="preserve"> </w:t>
      </w:r>
      <w:r>
        <w:t xml:space="preserve">Same-facility equivalent admissions grew 2.7% in 2Q, consistent with underlying demand in HCA’s markets.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Costs appear to be improving.</w:t>
      </w:r>
      <w:r>
        <w:t xml:space="preserve"> </w:t>
      </w:r>
      <w:r>
        <w:t xml:space="preserve">HCA cited improved expense trends and continues to target resiliency savings, including technology and AI-enabled operational initiatives.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Capacity investment remains intact.</w:t>
      </w:r>
      <w:r>
        <w:t xml:space="preserve"> </w:t>
      </w:r>
      <w:r>
        <w:t xml:space="preserve">Management maintained its</w:t>
      </w:r>
      <w:r>
        <w:t xml:space="preserve"> </w:t>
      </w:r>
      <m:oMath>
        <m:r>
          <m:t>5.0</m:t>
        </m:r>
        <m:r>
          <m:rPr>
            <m:sty m:val="p"/>
          </m:rPr>
          <m:t>–</m:t>
        </m:r>
      </m:oMath>
      <w:r>
        <w:t xml:space="preserve">5.5 billion 2026 capital-expenditure plan, excluding acquisitions—evidence that it still sees attractive local-market demand and capacity constraints.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Buyback capacity remains material.</w:t>
      </w:r>
      <w:r>
        <w:t xml:space="preserve"> </w:t>
      </w:r>
      <w:r>
        <w:t xml:space="preserve">In 1Q, HCA repurchased $1.57 billion of stock and had substantial authorization remaining, though continued buybacks will need to be balanced against debt, capex, and uncertainty around reimbursement.</w:t>
      </w:r>
    </w:p>
    <w:bookmarkEnd w:id="16"/>
    <w:bookmarkStart w:id="17" w:name="what-could-pressure-the-stock-further"/>
    <w:p>
      <w:pPr>
        <w:pStyle w:val="Heading2"/>
      </w:pPr>
      <w:r>
        <w:t xml:space="preserve">What could pressure the stock further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Exchange pressure worsens beyond the new</w:t>
      </w:r>
      <w:r>
        <w:rPr>
          <w:b/>
          <w:bCs/>
        </w:rPr>
        <w:t xml:space="preserve"> </w:t>
      </w:r>
      <m:oMath>
        <m:r>
          <m:t>1.0</m:t>
        </m:r>
        <m:r>
          <m:rPr>
            <m:sty m:val="p"/>
          </m:rPr>
          <m:t>–</m:t>
        </m:r>
      </m:oMath>
      <w:r>
        <w:rPr>
          <w:b/>
          <w:bCs/>
        </w:rPr>
        <w:t xml:space="preserve">1.2 billion estimate.</w:t>
      </w:r>
      <w:r>
        <w:t xml:space="preserve"> </w:t>
      </w:r>
      <w:r>
        <w:t xml:space="preserve">The magnitude and timing of coverage attrition remains the single largest earnings risk.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Surgery remains weak.</w:t>
      </w:r>
      <w:r>
        <w:t xml:space="preserve"> </w:t>
      </w:r>
      <w:r>
        <w:t xml:space="preserve">Persistent declines in inpatient or outpatient surgical activity would suggest a more fundamental service-mix challenge rather than a temporary quarterly issue.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Supplemental-payment benefits prove nonrecurring.</w:t>
      </w:r>
      <w:r>
        <w:t xml:space="preserve"> </w:t>
      </w:r>
      <w:r>
        <w:t xml:space="preserve">The large Florida-related benefit helped 2Q earnings, but investors will want clarity on its recurring run-rate.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EBITDA-margin erosion continues.</w:t>
      </w:r>
      <w:r>
        <w:t xml:space="preserve"> </w:t>
      </w:r>
      <w:r>
        <w:t xml:space="preserve">Revenue growth of nearly 9% paired with an 80-basis-point EBITDA-margin decline highlights the risk that payer mix and service mix overwhelm operating leverage.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Cash conversion deteriorates.</w:t>
      </w:r>
      <w:r>
        <w:t xml:space="preserve"> </w:t>
      </w:r>
      <w:r>
        <w:t xml:space="preserve">More uninsured volume could lengthen collections and raise bad-debt expense, making cash flow an increasingly important cross-check on reported earnings.</w:t>
      </w:r>
    </w:p>
    <w:bookmarkEnd w:id="17"/>
    <w:bookmarkStart w:id="18" w:name="questions-that-matter-most-on-the-call"/>
    <w:p>
      <w:pPr>
        <w:pStyle w:val="Heading2"/>
      </w:pPr>
      <w:r>
        <w:t xml:space="preserve">Questions that matter most on the call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What has changed in exchange attrition and uninsured volumes since the July 14 preannouncement?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Does the</w:t>
      </w:r>
      <w:r>
        <w:rPr>
          <w:b/>
          <w:bCs/>
        </w:rPr>
        <w:t xml:space="preserve"> </w:t>
      </w:r>
      <m:oMath>
        <m:r>
          <m:t>1.0</m:t>
        </m:r>
        <m:r>
          <m:rPr>
            <m:sty m:val="p"/>
          </m:rPr>
          <m:t>–</m:t>
        </m:r>
      </m:oMath>
      <w:r>
        <w:rPr>
          <w:b/>
          <w:bCs/>
        </w:rPr>
        <w:t xml:space="preserve">1.2 billion exchange headwind include a sufficiently conservative assumption for second-half coverage losses and collections?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How much of the 2Q Medicaid supplemental-payment benefit is prior-period, recurring, or dependent on future approvals?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Why did surgical volumes decline despite positive admissions and ER volumes, and are trends improving into July?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Can HCA hold adjusted EBITDA margins near current levels despite the mix shift, or does the revised outlook assume further compression?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What does the updated outlook imply for free cash flow, accounts receivable, bad debt, share repurchases, and leverage?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Are management’s prior resiliency and AI savings targets still on track, and can they offset payer-mix deterioration without affecting patient-care capacity?</w:t>
      </w:r>
    </w:p>
    <w:bookmarkEnd w:id="18"/>
    <w:bookmarkStart w:id="19" w:name="investment-framing"/>
    <w:p>
      <w:pPr>
        <w:pStyle w:val="Heading2"/>
      </w:pPr>
      <w:r>
        <w:t xml:space="preserve">Investment framing</w:t>
      </w:r>
    </w:p>
    <w:p>
      <w:pPr>
        <w:pStyle w:val="FirstParagraph"/>
      </w:pPr>
      <w:r>
        <w:t xml:space="preserve">The market no longer needs confirmation that HCA delivered a decent 2Q headline beat—the company already supplied that. It needs confirmation that the</w:t>
      </w:r>
      <w:r>
        <w:t xml:space="preserve"> </w:t>
      </w:r>
      <w:r>
        <w:rPr>
          <w:b/>
          <w:bCs/>
        </w:rPr>
        <w:t xml:space="preserve">earnings base has reset only once</w:t>
      </w:r>
      <w:r>
        <w:t xml:space="preserve">, rather than entering a period of recurring adverse payer mix, lower surgical intensity, and more difficult collections.</w:t>
      </w:r>
    </w:p>
    <w:p>
      <w:pPr>
        <w:pStyle w:val="BodyText"/>
      </w:pPr>
      <w:r>
        <w:t xml:space="preserve">A constructive call would show that exchange-related losses are tracking within the revised range, surgical trends have stabilized, Medicaid-program benefits are understood, and cost actions can preserve margins. A negative call would feature additional exchange deterioration, uncertain reserve adequacy, continued procedural weakness, or commentary that makes the Medicaid benefit look like a one-time cushion masking weaker core profitability.</w:t>
      </w:r>
    </w:p>
    <w:p>
      <w:pPr>
        <w:pStyle w:val="BodyText"/>
      </w:pPr>
      <w:r>
        <w:rPr>
          <w:b/>
          <w:bCs/>
        </w:rPr>
        <w:t xml:space="preserve">Near-term conclusion:</w:t>
      </w:r>
      <w:r>
        <w:t xml:space="preserve"> </w:t>
      </w:r>
      <w:r>
        <w:t xml:space="preserve">expect the stock reaction to be driven by the</w:t>
      </w:r>
      <w:r>
        <w:t xml:space="preserve"> </w:t>
      </w:r>
      <w:r>
        <w:rPr>
          <w:b/>
          <w:bCs/>
        </w:rPr>
        <w:t xml:space="preserve">credibility of the revised 2026 guidance</w:t>
      </w:r>
      <w:r>
        <w:t xml:space="preserve">, not by the already-preannounced 2Q EPS or revenue beat.</w:t>
      </w:r>
    </w:p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https://investor.hcahealthcare.com/news/news-details/2026/HCA-Healthcare-Previews-Second-Quarter-2026-Results/default.aspx?utm_source=openai" TargetMode="External" /><Relationship Type="http://schemas.openxmlformats.org/officeDocument/2006/relationships/hyperlink" Id="rId11" Target="https://www.sahmcapital.com/news/content/update-1-hca-cuts-annual-profit-forecast-on-increased-uncompensated-care-2026-07-14?utm_source=openai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https://investor.hcahealthcare.com/news/news-details/2026/HCA-Healthcare-Previews-Second-Quarter-2026-Results/default.aspx?utm_source=openai" TargetMode="External" /><Relationship Type="http://schemas.openxmlformats.org/officeDocument/2006/relationships/hyperlink" Id="rId11" Target="https://www.sahmcapital.com/news/content/update-1-hca-cuts-annual-profit-forecast-on-increased-uncompensated-care-2026-07-14?utm_source=openai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2026-07-24T00:13:11Z</dcterms:created>
  <dcterms:modified xsi:type="dcterms:W3CDTF">2026-07-24T00:13:11Z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