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ca-earnings-predictions--2026-07-24"/>
    <w:p>
      <w:pPr>
        <w:pStyle w:val="Heading1"/>
      </w:pPr>
      <w:r>
        <w:t xml:space="preserve">HCA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~$4.027B vs. cons $4.007B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~$7.59 vs. cons $7.323 (low quality — DPP-driven)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equiv. admissions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+2.7% vs. cons +2.31%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EBITDA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~$15.75B vs. cons $15.839B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operating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~$29.60 vs. cons $29.998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Exchange headwind tone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(</w:t>
            </w:r>
            <m:oMath>
              <m:r>
                <m:t>1.0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(</m:t>
              </m:r>
            </m:oMath>
            <w:r>
              <w:t xml:space="preserve">1.2B); risk of 'still dynamic' language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qualitative EBITDA trajectory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implied Q3 EBITDA ~$3.80B vs. cons $3.857B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consensus reset to guidance midpoint pulls FY EPS estimates down ~$0.40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2026-07-26T02:00:42Z</dcterms:created>
  <dcterms:modified xsi:type="dcterms:W3CDTF">2026-07-26T02:00:42Z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