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ig-earnings-predictions--2026-07-23"/>
    <w:p>
      <w:pPr>
        <w:pStyle w:val="Heading1"/>
      </w:pPr>
      <w:r>
        <w:t xml:space="preserve">HIG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 EPS (adj., diluted)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3.05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3.19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P&amp;C headline combined ratio (Business + Personal blended)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~93.0 vs. cons ~90.8 (higher ratio = worse profitability)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investment income (pre-tax)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770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745M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P&amp;C catastrophe load / current-accident-year cat assumption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~5.5% of NPE unchanged vs. cons ~5.5%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share repurchase pace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450</m:t>
              </m:r>
              <m:r>
                <m:t>M</m:t>
              </m:r>
              <m:r>
                <m:rPr>
                  <m:sty m:val="p"/>
                </m:rPr>
                <m:t>/</m:t>
              </m:r>
              <m:r>
                <m:t>q</m:t>
              </m:r>
              <m:r>
                <m:t>u</m:t>
              </m:r>
              <m:r>
                <m:t>a</m:t>
              </m:r>
              <m:r>
                <m:t>r</m:t>
              </m:r>
              <m:r>
                <m:t>t</m:t>
              </m:r>
              <m:r>
                <m:t>e</m:t>
              </m:r>
              <m:r>
                <m:t>r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450M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Business Insurance expense ratio glide path (sub-30% target)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~29.5%-29.8% exit vs. cons ~29.8% (FY2026 exit)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Employee Benefits core earnings margin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~7.0%-7.5% vs. cons ~8.0%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2026 net investment income growth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~+8%-10% y/y vs. cons ~+6% y/y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HIG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-2.8% (FOLLOW-THROUGH)</w:t>
            </w:r>
          </w:p>
        </w:tc>
        <w:tc>
          <w:tcPr/>
          <w:p>
            <w:pPr>
              <w:pStyle w:val="Compact"/>
            </w:pPr>
            <w:r>
              <w:t xml:space="preserve">A cat-driven EPS miss against a stock that has already rallied ~10% off its June lows into the print (like TRV's post-beat sell-the-news reaction on valuation/downgrades) sets up limited room for a relief rally even if underlying combined ratios and NII are solid. Out-period math works against the stock: analysts will likely trim FY26 EPS to reflect the incremental cat charge (which flows through the full-year cat budget even if within the aggregate-treaty attachment), while lingering overhangs (legacy abuse reserve trend, soft group-disability/PFML margins, decelerating ex-comp BI pricing) give sell-side more reason to shade estimates down rather than back-fill the miss with a 'one-time cat' narrative, producing continued mild downward drift over the week rather than an immediate rebound.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2026-07-23T01:21:15Z</dcterms:created>
  <dcterms:modified xsi:type="dcterms:W3CDTF">2026-07-23T01:21:15Z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