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c1168bde982b2cc9452e96295cf6b60ae430c0a"/>
    <w:p>
      <w:pPr>
        <w:pStyle w:val="Heading1"/>
      </w:pPr>
      <w:r>
        <w:t xml:space="preserve">The Hartford Insurance Group (HIG) — Q2 2026 Earnings Preview</w:t>
      </w:r>
    </w:p>
    <w:p>
      <w:pPr>
        <w:pStyle w:val="FirstParagraph"/>
      </w:pPr>
      <w:r>
        <w:rPr>
          <w:b/>
          <w:bCs/>
        </w:rPr>
        <w:t xml:space="preserve">Report date:</w:t>
      </w:r>
      <w:r>
        <w:t xml:space="preserve"> </w:t>
      </w:r>
      <w:r>
        <w:t xml:space="preserve">Thursday, July 23, 2026 (call scheduled for the morning, following the release)</w:t>
      </w:r>
      <w:r>
        <w:t xml:space="preserve"> </w:t>
      </w:r>
      <w:r>
        <w:rPr>
          <w:b/>
          <w:bCs/>
        </w:rPr>
        <w:t xml:space="preserve">Prior close (7/22/26):</w:t>
      </w:r>
      <w:r>
        <w:t xml:space="preserve"> </w:t>
      </w:r>
      <w:r>
        <w:t xml:space="preserve">~</w:t>
      </w:r>
      <m:oMath>
        <m:r>
          <m:t>140.87</m:t>
        </m:r>
        <m:r>
          <m:rPr>
            <m:sty m:val="p"/>
          </m:rPr>
          <m:t>|</m:t>
        </m:r>
        <m:r>
          <m:rPr>
            <m:sty m:val="p"/>
          </m:rPr>
          <m:t>*</m:t>
        </m:r>
        <m:r>
          <m:rPr>
            <m:sty m:val="p"/>
          </m:rPr>
          <m:t>*</m:t>
        </m:r>
        <m:r>
          <m:t>C</m:t>
        </m:r>
        <m:r>
          <m:t>o</m:t>
        </m:r>
        <m:r>
          <m:t>n</m:t>
        </m:r>
        <m:r>
          <m:t>s</m:t>
        </m:r>
        <m:r>
          <m:t>e</m:t>
        </m:r>
        <m:r>
          <m:t>n</m:t>
        </m:r>
        <m:r>
          <m:t>s</m:t>
        </m:r>
        <m:r>
          <m:t>u</m:t>
        </m:r>
        <m:r>
          <m:t>s</m:t>
        </m:r>
        <m:r>
          <m:t>Q</m:t>
        </m:r>
        <m:r>
          <m:t>2</m:t>
        </m:r>
        <m:r>
          <m:t>E</m:t>
        </m:r>
        <m:r>
          <m:t>P</m:t>
        </m:r>
        <m:r>
          <m:t>S</m:t>
        </m:r>
        <m:r>
          <m:rPr>
            <m:sty m:val="p"/>
          </m:rPr>
          <m:t>(</m:t>
        </m:r>
        <m:r>
          <m:t>c</m:t>
        </m:r>
        <m:r>
          <m:t>o</m:t>
        </m:r>
        <m:r>
          <m:t>r</m:t>
        </m:r>
        <m:r>
          <m:t>e</m:t>
        </m:r>
        <m:r>
          <m:rPr>
            <m:sty m:val="p"/>
          </m:rPr>
          <m:t>,</m:t>
        </m:r>
        <m:r>
          <m:t>a</m:t>
        </m:r>
        <m:r>
          <m:t>d</m:t>
        </m:r>
        <m:r>
          <m:t>j</m:t>
        </m:r>
        <m:r>
          <m:rPr>
            <m:sty m:val="p"/>
          </m:rPr>
          <m:t>.</m:t>
        </m:r>
        <m:r>
          <m:rPr>
            <m:sty m:val="p"/>
          </m:rPr>
          <m:t>)</m:t>
        </m:r>
        <m:r>
          <m:rPr>
            <m:sty m:val="p"/>
          </m:rPr>
          <m:t>:</m:t>
        </m:r>
        <m:r>
          <m:rPr>
            <m:sty m:val="p"/>
          </m:rPr>
          <m:t>*</m:t>
        </m:r>
        <m:r>
          <m:rPr>
            <m:sty m:val="p"/>
          </m:rPr>
          <m:t>*</m:t>
        </m:r>
        <m:r>
          <m:t> </m:t>
        </m:r>
      </m:oMath>
      <w:r>
        <w:t xml:space="preserve">3.13–</w:t>
      </w:r>
      <m:oMath>
        <m:r>
          <m:t>3.24</m:t>
        </m:r>
        <m:r>
          <m:t>v</m:t>
        </m:r>
        <m:r>
          <m:t>s</m:t>
        </m:r>
        <m:r>
          <m:rPr>
            <m:sty m:val="p"/>
          </m:rPr>
          <m:t>.</m:t>
        </m:r>
        <m:r>
          <m:rPr>
            <m:sty m:val="p"/>
          </m:rPr>
          <m:t>*</m:t>
        </m:r>
        <m:r>
          <m:rPr>
            <m:sty m:val="p"/>
          </m:rPr>
          <m:t>*</m:t>
        </m:r>
      </m:oMath>
      <w:r>
        <w:t xml:space="preserve">3.41** in Q2 2025 |</w:t>
      </w:r>
      <w:r>
        <w:t xml:space="preserve"> </w:t>
      </w:r>
      <w:r>
        <w:rPr>
          <w:b/>
          <w:bCs/>
        </w:rPr>
        <w:t xml:space="preserve">Consensus revenue:</w:t>
      </w:r>
      <w:r>
        <w:t xml:space="preserve"> </w:t>
      </w:r>
      <w:r>
        <w:t xml:space="preserve">~$7.2B (+~3% y/y)</w:t>
      </w:r>
    </w:p>
    <w:p>
      <w:r>
        <w:pict>
          <v:rect style="width:0;height:1.5pt" o:hralign="center" o:hrstd="t" o:hr="t"/>
        </w:pict>
      </w:r>
    </w:p>
    <w:bookmarkStart w:id="9" w:name="Xecf9822026e7af436e8ba8e959fb2fe85077347"/>
    <w:p>
      <w:pPr>
        <w:pStyle w:val="Heading2"/>
      </w:pPr>
      <w:r>
        <w:t xml:space="preserve">1. Setting the stage: a choppy year so far</w:t>
      </w:r>
    </w:p>
    <w:p>
      <w:pPr>
        <w:pStyle w:val="FirstParagraph"/>
      </w:pPr>
      <w:r>
        <w:t xml:space="preserve">HIG shares have had a volatile 2026. The stock started the year near $137, rallied to the low $140s in February, sold off through the spring to a low of roughly $126–127 in early June, and has since recovered to the $138–142 range heading into the print. Much of the spring weakness followed a</w:t>
      </w:r>
      <w:r>
        <w:t xml:space="preserve"> </w:t>
      </w:r>
      <w:r>
        <w:rPr>
          <w:b/>
          <w:bCs/>
        </w:rPr>
        <w:t xml:space="preserve">first-quarter report that missed Street EPS estimates</w:t>
      </w:r>
      <w:r>
        <w:t xml:space="preserve"> </w:t>
      </w:r>
      <w:r>
        <w:t xml:space="preserve">— Hartford posted core EPS of $3.09 in Q1 2026 versus consensus estimates in the</w:t>
      </w:r>
      <w:r>
        <w:t xml:space="preserve"> </w:t>
      </w:r>
      <m:oMath>
        <m:r>
          <m:t>3.24</m:t>
        </m:r>
        <m:r>
          <m:rPr>
            <m:sty m:val="p"/>
          </m:rPr>
          <m:t>–</m:t>
        </m:r>
      </m:oMath>
      <w:r>
        <w:t xml:space="preserve">3.39 range, even though core earnings still rose sharply year over year on premium growth and a favorable prior-year catastrophe comparison. That "beat on growth, miss on estimates" dynamic — combined with rising expense ratios in Employee Benefits and Business Insurance — has left sell-side sentiment mixed into Q2: Piper Sandler downgraded the stock to Neutral in mid-July and BofA has it at Hold, while JPMorgan and Goldman Sachs both raised price targets to $152 (Buy/Overweight) and KBW nudged its target to $143. The consensus rating remains a "Buy," with an average price target in the $148–149 area, implying modest upside from current levels.</w:t>
      </w:r>
    </w:p>
    <w:bookmarkEnd w:id="9"/>
    <w:bookmarkStart w:id="10" w:name="X672e490deb68e9a83b0c2fb44bdcc5f44b1176b"/>
    <w:p>
      <w:pPr>
        <w:pStyle w:val="Heading2"/>
      </w:pPr>
      <w:r>
        <w:t xml:space="preserve">2. What Q1 2026 told us heading into this print</w:t>
      </w:r>
    </w:p>
    <w:p>
      <w:pPr>
        <w:pStyle w:val="FirstParagraph"/>
      </w:pPr>
      <w:r>
        <w:t xml:space="preserve">Hartford's Q1 2026 core earnings were</w:t>
      </w:r>
      <w:r>
        <w:t xml:space="preserve"> </w:t>
      </w:r>
      <m:oMath>
        <m:r>
          <m:t>866</m:t>
        </m:r>
        <m:r>
          <m:t>m</m:t>
        </m:r>
        <m:r>
          <m:t>i</m:t>
        </m:r>
        <m:r>
          <m:t>l</m:t>
        </m:r>
        <m:r>
          <m:t>l</m:t>
        </m:r>
        <m:r>
          <m:t>i</m:t>
        </m:r>
        <m:r>
          <m:t>o</m:t>
        </m:r>
        <m:r>
          <m:t>n</m:t>
        </m:r>
        <m:r>
          <m:rPr>
            <m:sty m:val="p"/>
          </m:rPr>
          <m:t>(</m:t>
        </m:r>
      </m:oMath>
      <w:r>
        <w:t xml:space="preserve">3.09/diluted share), Business Insurance delivered another strong quarter, with 6 percent written premium growth and an underlying combined ratio of 89.2, while Personal Insurance the underlying combined ratio improved 4.7 points, while growth was impacted by a competitive market. Employee Benefits generated a core earnings margin of 6.9 percent, with outstanding life and strong disability performance and excellent new business sales growth. Two items are worth carrying into the Q2 debate:</w:t>
      </w:r>
    </w:p>
    <w:p>
      <w:pPr>
        <w:pStyle w:val="Compact"/>
        <w:numPr>
          <w:ilvl w:val="0"/>
          <w:numId w:val="1001"/>
        </w:numPr>
      </w:pPr>
      <w:r>
        <w:rPr>
          <w:b/>
          <w:bCs/>
        </w:rPr>
        <w:t xml:space="preserve">A legacy reserve charge.</w:t>
      </w:r>
      <w:r>
        <w:t xml:space="preserve"> </w:t>
      </w:r>
      <w:r>
        <w:t xml:space="preserve">Q1 results included an increase of $70 million in general liability reserves to reflect legacy sexual molestation and sexual abuse exposures related to policies written in the 1970s and 1980s, which includes a provision for a settlement in principle in one bankruptcy proceeding involving a religious institution. Investors will want confirmation this remains a one-off rather than the start of a trend.</w:t>
      </w:r>
    </w:p>
    <w:p>
      <w:pPr>
        <w:pStyle w:val="Compact"/>
        <w:numPr>
          <w:ilvl w:val="0"/>
          <w:numId w:val="1001"/>
        </w:numPr>
      </w:pPr>
      <w:r>
        <w:rPr>
          <w:b/>
          <w:bCs/>
        </w:rPr>
        <w:t xml:space="preserve">Elevated small-business winter cat losses.</w:t>
      </w:r>
      <w:r>
        <w:t xml:space="preserve"> </w:t>
      </w:r>
      <w:r>
        <w:t xml:space="preserve">Management noted P&amp;C current accident year losses were $230 million before tax or 5.1 combined ratio points, and that historically, freeze-driven winter storms like Storm Fern tend to impact small business customers to a greater degree. CFO Beth Bombara also flagged that overall, when we look at our CAT losses for the quarter compared to what our original expectations would be, it's probably about $30 million higher, and that our aggregate treaty kicks in when subject losses reached $750 million... through first quarter, we're at $204 million — a data point worth updating given Q2's much heavier storm season (see below).</w:t>
      </w:r>
    </w:p>
    <w:bookmarkEnd w:id="10"/>
    <w:bookmarkStart w:id="11" w:name="Xf39877d30ff45267cb2e904c66b1f4852c64832"/>
    <w:p>
      <w:pPr>
        <w:pStyle w:val="Heading2"/>
      </w:pPr>
      <w:r>
        <w:t xml:space="preserve">3. The Big Swing Factor: Q2 catastrophe activity</w:t>
      </w:r>
    </w:p>
    <w:p>
      <w:pPr>
        <w:pStyle w:val="FirstParagraph"/>
      </w:pPr>
      <w:r>
        <w:t xml:space="preserve">This is likely the single biggest driver of the headline beat/miss. Unlike the relatively benign Q2 2025 (Hartford's P&amp;C current-accident-year cat losses were just $212 million, concentrated in tornado/wind/hail across the South and Midwest), Q2 2026 featured one of the more active severe-convective-storm (SCS) stretches in recent years. A prolonged outbreak from roughly June 1–17 hit major metro areas including Chicago, Denver, Dallas, Milwaukee, Washington D.C. and New York City, and industry trackers estimated cumulative 2026 U.S. SCS insured losses had already topped $22 billion by mid-June, with Gallagher Re and Aon pegging global H1 2026 insured cat losses around $47 billion. Peer Allstate has already disclosed roughly</w:t>
      </w:r>
      <w:r>
        <w:t xml:space="preserve"> </w:t>
      </w:r>
      <m:oMath>
        <m:r>
          <m:t>1.7</m:t>
        </m:r>
        <m:r>
          <m:t>b</m:t>
        </m:r>
        <m:r>
          <m:t>i</m:t>
        </m:r>
        <m:r>
          <m:t>l</m:t>
        </m:r>
        <m:r>
          <m:t>l</m:t>
        </m:r>
        <m:r>
          <m:t>i</m:t>
        </m:r>
        <m:r>
          <m:t>o</m:t>
        </m:r>
        <m:r>
          <m:t>n</m:t>
        </m:r>
        <m:r>
          <m:t>o</m:t>
        </m:r>
        <m:r>
          <m:t>f</m:t>
        </m:r>
        <m:r>
          <m:t>p</m:t>
        </m:r>
        <m:r>
          <m:t>r</m:t>
        </m:r>
        <m:r>
          <m:t>e</m:t>
        </m:r>
        <m:r>
          <m:rPr>
            <m:sty m:val="p"/>
          </m:rPr>
          <m:t>−</m:t>
        </m:r>
        <m:r>
          <m:t>t</m:t>
        </m:r>
        <m:r>
          <m:t>a</m:t>
        </m:r>
        <m:r>
          <m:t>x</m:t>
        </m:r>
        <m:r>
          <m:t>Q</m:t>
        </m:r>
        <m:r>
          <m:t>2</m:t>
        </m:r>
        <m:r>
          <m:t>c</m:t>
        </m:r>
        <m:r>
          <m:t>a</m:t>
        </m:r>
        <m:r>
          <m:t>t</m:t>
        </m:r>
        <m:r>
          <m:t>a</m:t>
        </m:r>
        <m:r>
          <m:t>s</m:t>
        </m:r>
        <m:r>
          <m:t>t</m:t>
        </m:r>
        <m:r>
          <m:t>r</m:t>
        </m:r>
        <m:r>
          <m:t>o</m:t>
        </m:r>
        <m:r>
          <m:t>p</m:t>
        </m:r>
        <m:r>
          <m:t>h</m:t>
        </m:r>
        <m:r>
          <m:t>e</m:t>
        </m:r>
        <m:r>
          <m:t>l</m:t>
        </m:r>
        <m:r>
          <m:t>o</m:t>
        </m:r>
        <m:r>
          <m:t>s</m:t>
        </m:r>
        <m:r>
          <m:t>s</m:t>
        </m:r>
        <m:r>
          <m:t>e</m:t>
        </m:r>
        <m:r>
          <m:t>s</m:t>
        </m:r>
        <m:r>
          <m:rPr>
            <m:sty m:val="p"/>
          </m:rPr>
          <m:t>,</m:t>
        </m:r>
        <m:r>
          <m:t>a</m:t>
        </m:r>
        <m:r>
          <m:t>m</m:t>
        </m:r>
        <m:r>
          <m:t>e</m:t>
        </m:r>
        <m:r>
          <m:t>a</m:t>
        </m:r>
        <m:r>
          <m:t>n</m:t>
        </m:r>
        <m:r>
          <m:t>i</m:t>
        </m:r>
        <m:r>
          <m:t>n</m:t>
        </m:r>
        <m:r>
          <m:t>g</m:t>
        </m:r>
        <m:r>
          <m:t>f</m:t>
        </m:r>
        <m:r>
          <m:t>u</m:t>
        </m:r>
        <m:r>
          <m:t>l</m:t>
        </m:r>
        <m:r>
          <m:t>l</m:t>
        </m:r>
        <m:r>
          <m:t>y</m:t>
        </m:r>
        <m:r>
          <m:t>h</m:t>
        </m:r>
        <m:r>
          <m:t>e</m:t>
        </m:r>
        <m:r>
          <m:t>a</m:t>
        </m:r>
        <m:r>
          <m:t>v</m:t>
        </m:r>
        <m:r>
          <m:t>i</m:t>
        </m:r>
        <m:r>
          <m:t>e</m:t>
        </m:r>
        <m:r>
          <m:t>r</m:t>
        </m:r>
        <m:r>
          <m:t>l</m:t>
        </m:r>
        <m:r>
          <m:t>o</m:t>
        </m:r>
        <m:r>
          <m:t>a</m:t>
        </m:r>
        <m:r>
          <m:t>d</m:t>
        </m:r>
        <m:r>
          <m:t>t</m:t>
        </m:r>
        <m:r>
          <m:t>h</m:t>
        </m:r>
        <m:r>
          <m:t>a</m:t>
        </m:r>
        <m:r>
          <m:t>n</m:t>
        </m:r>
        <m:r>
          <m:t>a</m:t>
        </m:r>
        <m:r>
          <m:t>y</m:t>
        </m:r>
        <m:r>
          <m:t>e</m:t>
        </m:r>
        <m:r>
          <m:t>a</m:t>
        </m:r>
        <m:r>
          <m:t>r</m:t>
        </m:r>
        <m:r>
          <m:t>a</m:t>
        </m:r>
        <m:r>
          <m:t>g</m:t>
        </m:r>
        <m:r>
          <m:t>o</m:t>
        </m:r>
        <m:r>
          <m:rPr>
            <m:sty m:val="p"/>
          </m:rPr>
          <m:t>.</m:t>
        </m:r>
        <m:r>
          <m:t>G</m:t>
        </m:r>
        <m:r>
          <m:t>i</m:t>
        </m:r>
        <m:r>
          <m:t>v</m:t>
        </m:r>
        <m:r>
          <m:t>e</m:t>
        </m:r>
        <m:r>
          <m:t>n</m:t>
        </m:r>
        <m:r>
          <m:t>H</m:t>
        </m:r>
        <m:r>
          <m:t>a</m:t>
        </m:r>
        <m:r>
          <m:t>r</m:t>
        </m:r>
        <m:r>
          <m:t>t</m:t>
        </m:r>
        <m:r>
          <m:t>f</m:t>
        </m:r>
        <m:r>
          <m:t>o</m:t>
        </m:r>
        <m:r>
          <m:t>r</m:t>
        </m:r>
        <m:sSup>
          <m:e>
            <m:r>
              <m:t>d</m:t>
            </m:r>
          </m:e>
          <m:sup>
            <m:r>
              <m:rPr>
                <m:sty m:val="p"/>
              </m:rPr>
              <m:t>′</m:t>
            </m:r>
          </m:sup>
        </m:sSup>
        <m:r>
          <m:t>s</m:t>
        </m:r>
        <m:r>
          <m:t>s</m:t>
        </m:r>
        <m:r>
          <m:t>m</m:t>
        </m:r>
        <m:r>
          <m:t>a</m:t>
        </m:r>
        <m:r>
          <m:t>l</m:t>
        </m:r>
        <m:r>
          <m:t>l</m:t>
        </m:r>
        <m:r>
          <m:rPr>
            <m:sty m:val="p"/>
          </m:rPr>
          <m:t>−</m:t>
        </m:r>
        <m:r>
          <m:t>b</m:t>
        </m:r>
        <m:r>
          <m:t>u</m:t>
        </m:r>
        <m:r>
          <m:t>s</m:t>
        </m:r>
        <m:r>
          <m:t>i</m:t>
        </m:r>
        <m:r>
          <m:t>n</m:t>
        </m:r>
        <m:r>
          <m:t>e</m:t>
        </m:r>
        <m:r>
          <m:t>s</m:t>
        </m:r>
        <m:r>
          <m:t>s</m:t>
        </m:r>
        <m:r>
          <m:t>a</m:t>
        </m:r>
        <m:r>
          <m:t>n</m:t>
        </m:r>
        <m:r>
          <m:t>d</m:t>
        </m:r>
        <m:r>
          <m:t>p</m:t>
        </m:r>
        <m:r>
          <m:t>e</m:t>
        </m:r>
        <m:r>
          <m:t>r</m:t>
        </m:r>
        <m:r>
          <m:t>s</m:t>
        </m:r>
        <m:r>
          <m:t>o</m:t>
        </m:r>
        <m:r>
          <m:t>n</m:t>
        </m:r>
        <m:r>
          <m:t>a</m:t>
        </m:r>
        <m:r>
          <m:t>l</m:t>
        </m:r>
        <m:r>
          <m:rPr>
            <m:sty m:val="p"/>
          </m:rPr>
          <m:t>−</m:t>
        </m:r>
        <m:r>
          <m:t>l</m:t>
        </m:r>
        <m:r>
          <m:t>i</m:t>
        </m:r>
        <m:r>
          <m:t>n</m:t>
        </m:r>
        <m:r>
          <m:t>e</m:t>
        </m:r>
        <m:r>
          <m:t>s</m:t>
        </m:r>
        <m:r>
          <m:t>p</m:t>
        </m:r>
        <m:r>
          <m:t>r</m:t>
        </m:r>
        <m:r>
          <m:t>o</m:t>
        </m:r>
        <m:r>
          <m:t>p</m:t>
        </m:r>
        <m:r>
          <m:t>e</m:t>
        </m:r>
        <m:r>
          <m:t>r</m:t>
        </m:r>
        <m:r>
          <m:t>t</m:t>
        </m:r>
        <m:r>
          <m:t>y</m:t>
        </m:r>
        <m:r>
          <m:t>e</m:t>
        </m:r>
        <m:r>
          <m:t>x</m:t>
        </m:r>
        <m:r>
          <m:t>p</m:t>
        </m:r>
        <m:r>
          <m:t>o</m:t>
        </m:r>
        <m:r>
          <m:t>s</m:t>
        </m:r>
        <m:r>
          <m:t>u</m:t>
        </m:r>
        <m:r>
          <m:t>r</m:t>
        </m:r>
        <m:r>
          <m:t>e</m:t>
        </m:r>
        <m:r>
          <m:t>i</m:t>
        </m:r>
        <m:r>
          <m:t>s</m:t>
        </m:r>
        <m:r>
          <m:t>c</m:t>
        </m:r>
        <m:r>
          <m:t>o</m:t>
        </m:r>
        <m:r>
          <m:t>n</m:t>
        </m:r>
        <m:r>
          <m:t>c</m:t>
        </m:r>
        <m:r>
          <m:t>e</m:t>
        </m:r>
        <m:r>
          <m:t>n</m:t>
        </m:r>
        <m:r>
          <m:t>t</m:t>
        </m:r>
        <m:r>
          <m:t>r</m:t>
        </m:r>
        <m:r>
          <m:t>a</m:t>
        </m:r>
        <m:r>
          <m:t>t</m:t>
        </m:r>
        <m:r>
          <m:t>e</m:t>
        </m:r>
        <m:r>
          <m:t>d</m:t>
        </m:r>
        <m:r>
          <m:t>i</m:t>
        </m:r>
        <m:r>
          <m:t>n</m:t>
        </m:r>
        <m:r>
          <m:t>w</m:t>
        </m:r>
        <m:r>
          <m:t>i</m:t>
        </m:r>
        <m:r>
          <m:t>n</m:t>
        </m:r>
        <m:r>
          <m:t>d</m:t>
        </m:r>
        <m:r>
          <m:rPr>
            <m:sty m:val="p"/>
          </m:rPr>
          <m:t>/</m:t>
        </m:r>
        <m:r>
          <m:t>h</m:t>
        </m:r>
        <m:r>
          <m:t>a</m:t>
        </m:r>
        <m:r>
          <m:t>i</m:t>
        </m:r>
        <m:r>
          <m:t>l</m:t>
        </m:r>
        <m:r>
          <m:rPr>
            <m:sty m:val="p"/>
          </m:rPr>
          <m:t>−</m:t>
        </m:r>
        <m:r>
          <m:t>p</m:t>
        </m:r>
        <m:r>
          <m:t>r</m:t>
        </m:r>
        <m:r>
          <m:t>o</m:t>
        </m:r>
        <m:r>
          <m:t>n</m:t>
        </m:r>
        <m:r>
          <m:t>e</m:t>
        </m:r>
        <m:r>
          <m:t>M</m:t>
        </m:r>
        <m:r>
          <m:t>i</m:t>
        </m:r>
        <m:r>
          <m:t>d</m:t>
        </m:r>
        <m:r>
          <m:t>w</m:t>
        </m:r>
        <m:r>
          <m:t>e</m:t>
        </m:r>
        <m:r>
          <m:t>s</m:t>
        </m:r>
        <m:r>
          <m:t>t</m:t>
        </m:r>
        <m:r>
          <m:t>a</m:t>
        </m:r>
        <m:r>
          <m:t>n</m:t>
        </m:r>
        <m:r>
          <m:t>d</m:t>
        </m:r>
        <m:r>
          <m:t>S</m:t>
        </m:r>
        <m:r>
          <m:t>o</m:t>
        </m:r>
        <m:r>
          <m:t>u</m:t>
        </m:r>
        <m:r>
          <m:t>t</m:t>
        </m:r>
        <m:r>
          <m:t>h</m:t>
        </m:r>
        <m:r>
          <m:t>g</m:t>
        </m:r>
        <m:r>
          <m:t>e</m:t>
        </m:r>
        <m:r>
          <m:t>o</m:t>
        </m:r>
        <m:r>
          <m:t>g</m:t>
        </m:r>
        <m:r>
          <m:t>r</m:t>
        </m:r>
        <m:r>
          <m:t>a</m:t>
        </m:r>
        <m:r>
          <m:t>p</m:t>
        </m:r>
        <m:r>
          <m:t>h</m:t>
        </m:r>
        <m:r>
          <m:t>i</m:t>
        </m:r>
        <m:r>
          <m:t>e</m:t>
        </m:r>
        <m:r>
          <m:t>s</m:t>
        </m:r>
        <m:r>
          <m:rPr>
            <m:sty m:val="p"/>
          </m:rPr>
          <m:t>(</m:t>
        </m:r>
        <m:r>
          <m:t>t</m:t>
        </m:r>
        <m:r>
          <m:t>h</m:t>
        </m:r>
        <m:r>
          <m:t>e</m:t>
        </m:r>
        <m:r>
          <m:t>s</m:t>
        </m:r>
        <m:r>
          <m:t>a</m:t>
        </m:r>
        <m:r>
          <m:t>m</m:t>
        </m:r>
        <m:r>
          <m:t>e</m:t>
        </m:r>
        <m:r>
          <m:t>f</m:t>
        </m:r>
        <m:r>
          <m:t>o</m:t>
        </m:r>
        <m:r>
          <m:t>o</m:t>
        </m:r>
        <m:r>
          <m:t>t</m:t>
        </m:r>
        <m:r>
          <m:t>p</m:t>
        </m:r>
        <m:r>
          <m:t>r</m:t>
        </m:r>
        <m:r>
          <m:t>i</m:t>
        </m:r>
        <m:r>
          <m:t>n</m:t>
        </m:r>
        <m:r>
          <m:t>t</m:t>
        </m:r>
        <m:r>
          <m:t>c</m:t>
        </m:r>
        <m:r>
          <m:t>a</m:t>
        </m:r>
        <m:r>
          <m:t>l</m:t>
        </m:r>
        <m:r>
          <m:t>l</m:t>
        </m:r>
        <m:r>
          <m:t>e</m:t>
        </m:r>
        <m:r>
          <m:t>d</m:t>
        </m:r>
        <m:r>
          <m:t>o</m:t>
        </m:r>
        <m:r>
          <m:t>u</m:t>
        </m:r>
        <m:r>
          <m:t>t</m:t>
        </m:r>
        <m:r>
          <m:t>r</m:t>
        </m:r>
        <m:r>
          <m:t>e</m:t>
        </m:r>
        <m:r>
          <m:t>p</m:t>
        </m:r>
        <m:r>
          <m:t>e</m:t>
        </m:r>
        <m:r>
          <m:t>a</m:t>
        </m:r>
        <m:r>
          <m:t>t</m:t>
        </m:r>
        <m:r>
          <m:t>e</m:t>
        </m:r>
        <m:r>
          <m:t>d</m:t>
        </m:r>
        <m:r>
          <m:t>l</m:t>
        </m:r>
        <m:r>
          <m:t>y</m:t>
        </m:r>
        <m:r>
          <m:t>o</m:t>
        </m:r>
        <m:r>
          <m:t>n</m:t>
        </m:r>
        <m:r>
          <m:t>t</m:t>
        </m:r>
        <m:r>
          <m:t>h</m:t>
        </m:r>
        <m:r>
          <m:t>e</m:t>
        </m:r>
        <m:r>
          <m:t>Q</m:t>
        </m:r>
        <m:r>
          <m:t>1</m:t>
        </m:r>
        <m:r>
          <m:t>c</m:t>
        </m:r>
        <m:r>
          <m:t>a</m:t>
        </m:r>
        <m:r>
          <m:t>l</m:t>
        </m:r>
        <m:r>
          <m:t>l</m:t>
        </m:r>
        <m:r>
          <m:rPr>
            <m:sty m:val="p"/>
          </m:rPr>
          <m:t>)</m:t>
        </m:r>
        <m:r>
          <m:rPr>
            <m:sty m:val="p"/>
          </m:rPr>
          <m:t>,</m:t>
        </m:r>
        <m:r>
          <m:t>i</m:t>
        </m:r>
        <m:r>
          <m:t>n</m:t>
        </m:r>
        <m:r>
          <m:t>v</m:t>
        </m:r>
        <m:r>
          <m:t>e</m:t>
        </m:r>
        <m:r>
          <m:t>s</m:t>
        </m:r>
        <m:r>
          <m:t>t</m:t>
        </m:r>
        <m:r>
          <m:t>o</m:t>
        </m:r>
        <m:r>
          <m:t>r</m:t>
        </m:r>
        <m:r>
          <m:t>s</m:t>
        </m:r>
        <m:r>
          <m:t>s</m:t>
        </m:r>
        <m:r>
          <m:t>h</m:t>
        </m:r>
        <m:r>
          <m:t>o</m:t>
        </m:r>
        <m:r>
          <m:t>u</m:t>
        </m:r>
        <m:r>
          <m:t>l</m:t>
        </m:r>
        <m:r>
          <m:t>d</m:t>
        </m:r>
        <m:r>
          <m:t>e</m:t>
        </m:r>
        <m:r>
          <m:t>x</m:t>
        </m:r>
        <m:r>
          <m:t>p</m:t>
        </m:r>
        <m:r>
          <m:t>e</m:t>
        </m:r>
        <m:r>
          <m:t>c</m:t>
        </m:r>
        <m:r>
          <m:t>t</m:t>
        </m:r>
        <m:r>
          <m:t>a</m:t>
        </m:r>
        <m:r>
          <m:t>s</m:t>
        </m:r>
        <m:r>
          <m:t>i</m:t>
        </m:r>
        <m:r>
          <m:t>z</m:t>
        </m:r>
        <m:r>
          <m:t>a</m:t>
        </m:r>
        <m:r>
          <m:t>b</m:t>
        </m:r>
        <m:r>
          <m:t>l</m:t>
        </m:r>
        <m:r>
          <m:t>e</m:t>
        </m:r>
        <m:r>
          <m:t>s</m:t>
        </m:r>
        <m:r>
          <m:t>t</m:t>
        </m:r>
        <m:r>
          <m:t>e</m:t>
        </m:r>
        <m:r>
          <m:t>p</m:t>
        </m:r>
        <m:r>
          <m:rPr>
            <m:sty m:val="p"/>
          </m:rPr>
          <m:t>−</m:t>
        </m:r>
        <m:r>
          <m:t>u</m:t>
        </m:r>
        <m:r>
          <m:t>p</m:t>
        </m:r>
        <m:r>
          <m:t>i</m:t>
        </m:r>
        <m:r>
          <m:t>n</m:t>
        </m:r>
        <m:r>
          <m:t>c</m:t>
        </m:r>
        <m:r>
          <m:t>u</m:t>
        </m:r>
        <m:r>
          <m:t>r</m:t>
        </m:r>
        <m:r>
          <m:t>r</m:t>
        </m:r>
        <m:r>
          <m:t>e</m:t>
        </m:r>
        <m:r>
          <m:t>n</m:t>
        </m:r>
        <m:r>
          <m:t>t</m:t>
        </m:r>
        <m:r>
          <m:rPr>
            <m:sty m:val="p"/>
          </m:rPr>
          <m:t>−</m:t>
        </m:r>
        <m:r>
          <m:t>a</m:t>
        </m:r>
        <m:r>
          <m:t>c</m:t>
        </m:r>
        <m:r>
          <m:t>c</m:t>
        </m:r>
        <m:r>
          <m:t>i</m:t>
        </m:r>
        <m:r>
          <m:t>d</m:t>
        </m:r>
        <m:r>
          <m:t>e</m:t>
        </m:r>
        <m:r>
          <m:t>n</m:t>
        </m:r>
        <m:r>
          <m:t>t</m:t>
        </m:r>
        <m:r>
          <m:rPr>
            <m:sty m:val="p"/>
          </m:rPr>
          <m:t>−</m:t>
        </m:r>
        <m:r>
          <m:t>y</m:t>
        </m:r>
        <m:r>
          <m:t>e</m:t>
        </m:r>
        <m:r>
          <m:t>a</m:t>
        </m:r>
        <m:r>
          <m:t>r</m:t>
        </m:r>
        <m:r>
          <m:t>C</m:t>
        </m:r>
        <m:r>
          <m:t>A</m:t>
        </m:r>
        <m:r>
          <m:t>T</m:t>
        </m:r>
        <m:r>
          <m:t>l</m:t>
        </m:r>
        <m:r>
          <m:t>o</m:t>
        </m:r>
        <m:r>
          <m:t>s</m:t>
        </m:r>
        <m:r>
          <m:t>s</m:t>
        </m:r>
        <m:r>
          <m:t>e</m:t>
        </m:r>
        <m:r>
          <m:t>s</m:t>
        </m:r>
        <m:r>
          <m:t>v</m:t>
        </m:r>
        <m:r>
          <m:t>e</m:t>
        </m:r>
        <m:r>
          <m:t>r</m:t>
        </m:r>
        <m:r>
          <m:t>s</m:t>
        </m:r>
        <m:r>
          <m:t>u</m:t>
        </m:r>
        <m:r>
          <m:t>s</m:t>
        </m:r>
        <m:r>
          <m:t>b</m:t>
        </m:r>
        <m:r>
          <m:t>o</m:t>
        </m:r>
        <m:r>
          <m:t>t</m:t>
        </m:r>
        <m:r>
          <m:t>h</m:t>
        </m:r>
        <m:r>
          <m:t>Q</m:t>
        </m:r>
        <m:r>
          <m:t>1</m:t>
        </m:r>
        <m:r>
          <m:t>2026</m:t>
        </m:r>
        <m:r>
          <m:rPr>
            <m:sty m:val="p"/>
          </m:rPr>
          <m:t>(</m:t>
        </m:r>
      </m:oMath>
      <w:r>
        <w:t xml:space="preserve">230 million) and Q2 2025 ($212 million) — the key question is whether it stays within Hartford's full-year cat load assumptions or triggers reinsurance recoveries/aggregate-treaty discussion.</w:t>
      </w:r>
    </w:p>
    <w:bookmarkEnd w:id="11"/>
    <w:bookmarkStart w:id="12" w:name="X41fd2605ff92f37287c73273836acdf61486ed8"/>
    <w:p>
      <w:pPr>
        <w:pStyle w:val="Heading2"/>
      </w:pPr>
      <w:r>
        <w:t xml:space="preserve">4. Segment-by-segment watch items</w:t>
      </w:r>
    </w:p>
    <w:p>
      <w:pPr>
        <w:pStyle w:val="FirstParagraph"/>
      </w:pPr>
      <w:r>
        <w:rPr>
          <w:b/>
          <w:bCs/>
        </w:rPr>
        <w:t xml:space="preserve">Business Insurance</w:t>
      </w:r>
      <w:r>
        <w:t xml:space="preserve"> </w:t>
      </w:r>
      <w:r>
        <w:t xml:space="preserve">— The story here is pricing discipline vs. a softening market. On the Q1 call, management detailed pricing trends investors should track for signs of further deceleration: Business Insurance renewal written pricing, excluding workers' compensation, remained relatively consistent at 6% in the quarter, with pricing in commercial auto and liability, including umbrella and excess remained strong and above loss trend, while property continues to remain highly profitable and an attractive area for growth, though pricing moderated in the quarter. Small Business remains the growth engine (+8% written premium in Q1) but watch whether that pace is sustainable as GL, middle-market and small-commercial pricing all ticked down sequentially in Q1 (ex-comp small pricing fell to 7.2% from 7.7%). Also watch the</w:t>
      </w:r>
      <w:r>
        <w:t xml:space="preserve"> </w:t>
      </w:r>
      <w:r>
        <w:rPr>
          <w:b/>
          <w:bCs/>
        </w:rPr>
        <w:t xml:space="preserve">expense ratio trajectory</w:t>
      </w:r>
      <w:r>
        <w:t xml:space="preserve"> </w:t>
      </w:r>
      <w:r>
        <w:t xml:space="preserve">— management reaffirmed a sub-30% target by end of 2027 with incrementally, we do expect improvement in '26... you will see a decline in all the major businesses segments of an expense ratio decline in '26 with continued improvement in '27.</w:t>
      </w:r>
    </w:p>
    <w:p>
      <w:pPr>
        <w:pStyle w:val="BodyText"/>
      </w:pPr>
      <w:r>
        <w:rPr>
          <w:b/>
          <w:bCs/>
        </w:rPr>
        <w:t xml:space="preserve">Personal Insurance</w:t>
      </w:r>
      <w:r>
        <w:t xml:space="preserve"> </w:t>
      </w:r>
      <w:r>
        <w:t xml:space="preserve">— Margins have improved dramatically (underlying combined ratio 85.0 in Q1 vs. 89.7 a year ago), but growth is still negative as Hartford cedes ground in direct auto. Management was candid that the market remains dynamic with competitors aggressively positioning renewal rate decreases, increasing marketing spend and introducing new business discounts... we remain disciplined and expect direct auto growth to remain challenged in the near term. Note Q2 2025 was already a strong comp for this segment (94.1 combined ratio / 88.0 underlying, with 14.0% auto and 12.7% home renewal pricing), so further year-over-year underlying improvement will be harder to show; watch retention trends as pricing moderates and the agency-channel Prevail rollout (now live in 15 states, targeting 30 by early 2027) for signs of a growth inflection.</w:t>
      </w:r>
    </w:p>
    <w:p>
      <w:pPr>
        <w:pStyle w:val="BodyText"/>
      </w:pPr>
      <w:r>
        <w:rPr>
          <w:b/>
          <w:bCs/>
        </w:rPr>
        <w:t xml:space="preserve">Employee Benefits</w:t>
      </w:r>
      <w:r>
        <w:t xml:space="preserve"> </w:t>
      </w:r>
      <w:r>
        <w:t xml:space="preserve">— This is the segment most at risk of a second consecutive soft quarter. Group disability has been the pressure point: the group disability loss ratio of 72.7% increased by 3.7 points, driven by less favorable long-term disability loss trends as well as higher short-term disability claim incidents, including in paid family and medical leave where we continue to take pricing actions to reflect the increased utilization of these products. Management characterized the long-term disability move as just a little bit of a reversion to the mean after several exceptionally strong years, and expects PFML utilization to moderate as new-state pent-up demand fades and pricing actions take hold — Q2 results should show whether that moderation is materializing. Sales momentum, however, has been a genuine positive (fully insured sales +53% in Q1), and strong quote activity should continue supporting the top line even if margins stay below the roughly 9% level Employee Benefits posted a year ago.</w:t>
      </w:r>
    </w:p>
    <w:p>
      <w:pPr>
        <w:pStyle w:val="BodyText"/>
      </w:pPr>
      <w:r>
        <w:rPr>
          <w:b/>
          <w:bCs/>
        </w:rPr>
        <w:t xml:space="preserve">Investments &amp; Capital Return</w:t>
      </w:r>
      <w:r>
        <w:t xml:space="preserve"> </w:t>
      </w:r>
      <w:r>
        <w:t xml:space="preserve">— Net investment income has been a steady tailwind ($739 million in Q1, +13% y/y) on higher invested assets and reinvestment yields; management guided that for full year 2026, with the current backdrop, we expect net investment income to increase, supported by continued growth in invested assets with overall portfolio yields expected to be generally in line with 2025, while flagging that geopolitical volatility and economic uncertainty may lead to this trend continuing in the near term for limited-partnership returns — worth monitoring given the escalation in Middle East tensions (Strait of Hormuz) referenced on the Q1 call and in recent oil-market headlines. On capital, Hartford repurchased 3.3 million shares under our share repurchase program for $450 million, and we expect to remain at that level of repurchases in the second quarter, with $1.1 billion remaining on our share repurchase authorization through December 31, 2026 — confirmation of continued $450M/quarter buybacks plus the dividend would reinforce the capital-return story that has helped offset top-line softness in Personal Lines.</w:t>
      </w:r>
    </w:p>
    <w:bookmarkEnd w:id="12"/>
    <w:bookmarkStart w:id="13" w:name="X1dac5d2f16b90bede4e2cc816414412e73d3e91"/>
    <w:p>
      <w:pPr>
        <w:pStyle w:val="Heading2"/>
      </w:pPr>
      <w:r>
        <w:t xml:space="preserve">5. Bottom line for investors</w:t>
      </w:r>
    </w:p>
    <w:p>
      <w:pPr>
        <w:pStyle w:val="FirstParagraph"/>
      </w:pPr>
      <w:r>
        <w:t xml:space="preserve">The setup into Q2 2026 is a tug-of-war between two forces: (1) continued underwriting-margin strength in Business and Personal Insurance, disciplined pricing, robust Employee Benefits sales, and steady capital return — all of which have underpinned Hartford's ~20% trailing core ROE; versus (2) a materially heavier catastrophe quarter (industry SCS losses already running well above last year's comparable period) and lingering questions about expense-ratio creep and legacy reserve risk that dented the Q1 print. Given Q2 2025's unusually strong comps (core EPS</w:t>
      </w:r>
      <w:r>
        <w:t xml:space="preserve"> </w:t>
      </w:r>
      <m:oMath>
        <m:r>
          <m:t>3.41</m:t>
        </m:r>
        <m:r>
          <m:rPr>
            <m:sty m:val="p"/>
          </m:rPr>
          <m:t>,</m:t>
        </m:r>
        <m:r>
          <m:t>B</m:t>
        </m:r>
        <m:r>
          <m:t>u</m:t>
        </m:r>
        <m:r>
          <m:t>s</m:t>
        </m:r>
        <m:r>
          <m:t>i</m:t>
        </m:r>
        <m:r>
          <m:t>n</m:t>
        </m:r>
        <m:r>
          <m:t>e</m:t>
        </m:r>
        <m:r>
          <m:t>s</m:t>
        </m:r>
        <m:r>
          <m:t>s</m:t>
        </m:r>
        <m:r>
          <m:t>I</m:t>
        </m:r>
        <m:r>
          <m:t>n</m:t>
        </m:r>
        <m:r>
          <m:t>s</m:t>
        </m:r>
        <m:r>
          <m:t>u</m:t>
        </m:r>
        <m:r>
          <m:t>r</m:t>
        </m:r>
        <m:r>
          <m:t>a</m:t>
        </m:r>
        <m:r>
          <m:t>n</m:t>
        </m:r>
        <m:r>
          <m:t>c</m:t>
        </m:r>
        <m:r>
          <m:t>e</m:t>
        </m:r>
        <m:r>
          <m:t>c</m:t>
        </m:r>
        <m:r>
          <m:t>o</m:t>
        </m:r>
        <m:r>
          <m:t>m</m:t>
        </m:r>
        <m:r>
          <m:t>b</m:t>
        </m:r>
        <m:r>
          <m:t>i</m:t>
        </m:r>
        <m:r>
          <m:t>n</m:t>
        </m:r>
        <m:r>
          <m:t>e</m:t>
        </m:r>
        <m:r>
          <m:t>d</m:t>
        </m:r>
        <m:r>
          <m:t>r</m:t>
        </m:r>
        <m:r>
          <m:t>a</m:t>
        </m:r>
        <m:r>
          <m:t>t</m:t>
        </m:r>
        <m:r>
          <m:t>i</m:t>
        </m:r>
        <m:r>
          <m:t>o</m:t>
        </m:r>
        <m:r>
          <m:t>87.0</m:t>
        </m:r>
        <m:r>
          <m:rPr>
            <m:sty m:val="p"/>
          </m:rPr>
          <m:t>,</m:t>
        </m:r>
        <m:r>
          <m:t>P</m:t>
        </m:r>
        <m:r>
          <m:t>e</m:t>
        </m:r>
        <m:r>
          <m:t>r</m:t>
        </m:r>
        <m:r>
          <m:t>s</m:t>
        </m:r>
        <m:r>
          <m:t>o</m:t>
        </m:r>
        <m:r>
          <m:t>n</m:t>
        </m:r>
        <m:r>
          <m:t>a</m:t>
        </m:r>
        <m:r>
          <m:t>l</m:t>
        </m:r>
        <m:r>
          <m:t>I</m:t>
        </m:r>
        <m:r>
          <m:t>n</m:t>
        </m:r>
        <m:r>
          <m:t>s</m:t>
        </m:r>
        <m:r>
          <m:t>u</m:t>
        </m:r>
        <m:r>
          <m:t>r</m:t>
        </m:r>
        <m:r>
          <m:t>a</m:t>
        </m:r>
        <m:r>
          <m:t>n</m:t>
        </m:r>
        <m:r>
          <m:t>c</m:t>
        </m:r>
        <m:r>
          <m:t>e</m:t>
        </m:r>
        <m:r>
          <m:t>c</m:t>
        </m:r>
        <m:r>
          <m:t>o</m:t>
        </m:r>
        <m:r>
          <m:t>m</m:t>
        </m:r>
        <m:r>
          <m:t>b</m:t>
        </m:r>
        <m:r>
          <m:t>i</m:t>
        </m:r>
        <m:r>
          <m:t>n</m:t>
        </m:r>
        <m:r>
          <m:t>e</m:t>
        </m:r>
        <m:r>
          <m:t>d</m:t>
        </m:r>
        <m:r>
          <m:t>r</m:t>
        </m:r>
        <m:r>
          <m:t>a</m:t>
        </m:r>
        <m:r>
          <m:t>t</m:t>
        </m:r>
        <m:r>
          <m:t>i</m:t>
        </m:r>
        <m:r>
          <m:t>o</m:t>
        </m:r>
        <m:r>
          <m:t>94.1</m:t>
        </m:r>
        <m:r>
          <m:t>w</m:t>
        </m:r>
        <m:r>
          <m:t>i</m:t>
        </m:r>
        <m:r>
          <m:t>t</m:t>
        </m:r>
        <m:r>
          <m:t>h</m:t>
        </m:r>
        <m:r>
          <m:t>a</m:t>
        </m:r>
        <m:r>
          <m:t>n</m:t>
        </m:r>
        <m:r>
          <m:t>8.7</m:t>
        </m:r>
        <m:r>
          <m:rPr>
            <m:sty m:val="p"/>
          </m:rPr>
          <m:t>−</m:t>
        </m:r>
        <m:r>
          <m:t>p</m:t>
        </m:r>
        <m:r>
          <m:t>o</m:t>
        </m:r>
        <m:r>
          <m:t>i</m:t>
        </m:r>
        <m:r>
          <m:t>n</m:t>
        </m:r>
        <m:r>
          <m:t>t</m:t>
        </m:r>
        <m:r>
          <m:t>u</m:t>
        </m:r>
        <m:r>
          <m:t>n</m:t>
        </m:r>
        <m:r>
          <m:t>d</m:t>
        </m:r>
        <m:r>
          <m:t>e</m:t>
        </m:r>
        <m:r>
          <m:t>r</m:t>
        </m:r>
        <m:r>
          <m:t>l</m:t>
        </m:r>
        <m:r>
          <m:t>y</m:t>
        </m:r>
        <m:r>
          <m:t>i</m:t>
        </m:r>
        <m:r>
          <m:t>n</m:t>
        </m:r>
        <m:r>
          <m:t>g</m:t>
        </m:r>
        <m:r>
          <m:t>i</m:t>
        </m:r>
        <m:r>
          <m:t>m</m:t>
        </m:r>
        <m:r>
          <m:t>p</m:t>
        </m:r>
        <m:r>
          <m:t>r</m:t>
        </m:r>
        <m:r>
          <m:t>o</m:t>
        </m:r>
        <m:r>
          <m:t>v</m:t>
        </m:r>
        <m:r>
          <m:t>e</m:t>
        </m:r>
        <m:r>
          <m:t>m</m:t>
        </m:r>
        <m:r>
          <m:t>e</m:t>
        </m:r>
        <m:r>
          <m:t>n</m:t>
        </m:r>
        <m:r>
          <m:t>t</m:t>
        </m:r>
        <m:r>
          <m:rPr>
            <m:sty m:val="p"/>
          </m:rPr>
          <m:t>)</m:t>
        </m:r>
        <m:r>
          <m:rPr>
            <m:sty m:val="p"/>
          </m:rPr>
          <m:t>,</m:t>
        </m:r>
        <m:r>
          <m:t>a</m:t>
        </m:r>
        <m:r>
          <m:t>y</m:t>
        </m:r>
        <m:r>
          <m:t>e</m:t>
        </m:r>
        <m:r>
          <m:t>a</m:t>
        </m:r>
        <m:r>
          <m:t>r</m:t>
        </m:r>
        <m:r>
          <m:rPr>
            <m:sty m:val="p"/>
          </m:rPr>
          <m:t>−</m:t>
        </m:r>
        <m:r>
          <m:t>o</m:t>
        </m:r>
        <m:r>
          <m:t>v</m:t>
        </m:r>
        <m:r>
          <m:t>e</m:t>
        </m:r>
        <m:r>
          <m:t>r</m:t>
        </m:r>
        <m:r>
          <m:rPr>
            <m:sty m:val="p"/>
          </m:rPr>
          <m:t>−</m:t>
        </m:r>
        <m:r>
          <m:t>y</m:t>
        </m:r>
        <m:r>
          <m:t>e</m:t>
        </m:r>
        <m:r>
          <m:t>a</m:t>
        </m:r>
        <m:r>
          <m:t>r</m:t>
        </m:r>
        <m:r>
          <m:t>E</m:t>
        </m:r>
        <m:r>
          <m:t>P</m:t>
        </m:r>
        <m:r>
          <m:t>S</m:t>
        </m:r>
        <m:r>
          <m:t>d</m:t>
        </m:r>
        <m:r>
          <m:t>e</m:t>
        </m:r>
        <m:r>
          <m:t>c</m:t>
        </m:r>
        <m:r>
          <m:t>l</m:t>
        </m:r>
        <m:r>
          <m:t>i</m:t>
        </m:r>
        <m:r>
          <m:t>n</m:t>
        </m:r>
        <m:r>
          <m:t>e</m:t>
        </m:r>
        <m:r>
          <m:t>i</m:t>
        </m:r>
        <m:r>
          <m:t>s</m:t>
        </m:r>
        <m:r>
          <m:t>a</m:t>
        </m:r>
        <m:r>
          <m:t>l</m:t>
        </m:r>
        <m:r>
          <m:t>r</m:t>
        </m:r>
        <m:r>
          <m:t>e</m:t>
        </m:r>
        <m:r>
          <m:t>a</m:t>
        </m:r>
        <m:r>
          <m:t>d</m:t>
        </m:r>
        <m:r>
          <m:t>y</m:t>
        </m:r>
        <m:r>
          <m:t>b</m:t>
        </m:r>
        <m:r>
          <m:t>a</m:t>
        </m:r>
        <m:r>
          <m:t>k</m:t>
        </m:r>
        <m:r>
          <m:t>e</m:t>
        </m:r>
        <m:r>
          <m:t>d</m:t>
        </m:r>
        <m:r>
          <m:t>i</m:t>
        </m:r>
        <m:r>
          <m:t>n</m:t>
        </m:r>
        <m:r>
          <m:t>t</m:t>
        </m:r>
        <m:r>
          <m:t>o</m:t>
        </m:r>
        <m:r>
          <m:t>c</m:t>
        </m:r>
        <m:r>
          <m:t>o</m:t>
        </m:r>
        <m:r>
          <m:t>n</m:t>
        </m:r>
        <m:r>
          <m:t>s</m:t>
        </m:r>
        <m:r>
          <m:t>e</m:t>
        </m:r>
        <m:r>
          <m:t>n</m:t>
        </m:r>
        <m:r>
          <m:t>s</m:t>
        </m:r>
        <m:r>
          <m:t>u</m:t>
        </m:r>
        <m:r>
          <m:t>s</m:t>
        </m:r>
        <m:r>
          <m:rPr>
            <m:sty m:val="p"/>
          </m:rPr>
          <m:t>(</m:t>
        </m:r>
        <m:r>
          <m:t> </m:t>
        </m:r>
      </m:oMath>
      <w:r>
        <w:t xml:space="preserve">3.13–$3.24 vs. $3.41). The key swing factors to watch on the print/call: (1) the magnitude of Q2 catastrophe losses and whether they exceed both Hartford's internal plan and the aggregate reinsurance attachment point discussed in Q1; (2) whether Business Insurance pricing ex-comp continues decelerating; (3) group disability/PFML loss-ratio trends in Employee Benefits; and (4) any commentary on 2026 property growth targets (previously guided toward 10% growth off a $3.3B base) and the sub-30% expense-ratio glide path for 2026–2027.</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2026-07-23T01:21:15Z</dcterms:created>
  <dcterms:modified xsi:type="dcterms:W3CDTF">2026-07-23T01:21:15Z</dcterms:modified>
</cp:coreProperties>
</file>

<file path=docProps/custom.xml><?xml version="1.0" encoding="utf-8"?>
<Properties xmlns="http://schemas.openxmlformats.org/officeDocument/2006/custom-properties" xmlns:vt="http://schemas.openxmlformats.org/officeDocument/2006/docPropsVTypes"/>
</file>