
<file path=[Content_Types].xml><?xml version="1.0" encoding="utf-8"?>
<Types xmlns="http://schemas.openxmlformats.org/package/2006/content-types">
  <Default Extension="xml" ContentType="application/xml"/>
  <Default Extension="rels" ContentType="application/vnd.openxmlformats-package.relationships+xml"/>
  <Default Extension="odttf" ContentType="application/vnd.openxmlformats-officedocument.obfuscatedFont"/>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8" w:name="hig-q2-2026-earnings-preview"/>
    <w:p>
      <w:pPr>
        <w:pStyle w:val="Heading1"/>
      </w:pPr>
      <w:r>
        <w:t xml:space="preserve">HIG Q2 2026 Earnings Preview</w:t>
      </w:r>
    </w:p>
    <w:p>
      <w:pPr>
        <w:pStyle w:val="BlockText"/>
      </w:pPr>
      <w:r>
        <w:rPr>
          <w:b/>
          <w:bCs/>
        </w:rPr>
        <w:t xml:space="preserve">Timing clarification:</w:t>
      </w:r>
      <w:r>
        <w:t xml:space="preserve"> </w:t>
      </w:r>
      <w:r>
        <w:t xml:space="preserve">The Hartford is scheduled to release second-quarter results</w:t>
      </w:r>
      <w:r>
        <w:t xml:space="preserve"> </w:t>
      </w:r>
      <w:r>
        <w:rPr>
          <w:b/>
          <w:bCs/>
        </w:rPr>
        <w:t xml:space="preserve">after the market closes today, July 23, 2026</w:t>
      </w:r>
      <w:r>
        <w:t xml:space="preserve">. The earnings call is scheduled for</w:t>
      </w:r>
      <w:r>
        <w:t xml:space="preserve"> </w:t>
      </w:r>
      <w:r>
        <w:rPr>
          <w:b/>
          <w:bCs/>
        </w:rPr>
        <w:t xml:space="preserve">Friday, July 24, at 9:00 a.m. ET</w:t>
      </w:r>
      <w:r>
        <w:t xml:space="preserve">—not July 23. (</w:t>
      </w:r>
      <w:hyperlink r:id="rId9">
        <w:r>
          <w:rPr>
            <w:rStyle w:val="Hyperlink"/>
          </w:rPr>
          <w:t xml:space="preserve">newsroom.thehartford.com</w:t>
        </w:r>
      </w:hyperlink>
      <w:r>
        <w:t xml:space="preserve">)</w:t>
      </w:r>
    </w:p>
    <w:bookmarkStart w:id="10" w:name="investment-view-going-into-the-report"/>
    <w:p>
      <w:pPr>
        <w:pStyle w:val="Heading2"/>
      </w:pPr>
      <w:r>
        <w:t xml:space="preserve">Investment view going into the report</w:t>
      </w:r>
    </w:p>
    <w:p>
      <w:pPr>
        <w:pStyle w:val="FirstParagraph"/>
      </w:pPr>
      <w:r>
        <w:t xml:space="preserve">The setup is</w:t>
      </w:r>
      <w:r>
        <w:t xml:space="preserve"> </w:t>
      </w:r>
      <w:r>
        <w:rPr>
          <w:b/>
          <w:bCs/>
        </w:rPr>
        <w:t xml:space="preserve">moderately favorable, but unusually noisy</w:t>
      </w:r>
      <w:r>
        <w:t xml:space="preserve">. The Hartford’s core insurance operations entered Q2 with strong underlying margins, rising investment income and substantial excess capital. At the same time, investors must navigate:</w:t>
      </w:r>
    </w:p>
    <w:p>
      <w:pPr>
        <w:pStyle w:val="Compact"/>
        <w:numPr>
          <w:ilvl w:val="0"/>
          <w:numId w:val="1001"/>
        </w:numPr>
      </w:pPr>
      <w:r>
        <w:t xml:space="preserve">A major accounting reset from the pending sale of Hartford Funds.</w:t>
      </w:r>
    </w:p>
    <w:p>
      <w:pPr>
        <w:pStyle w:val="Compact"/>
        <w:numPr>
          <w:ilvl w:val="0"/>
          <w:numId w:val="1001"/>
        </w:numPr>
      </w:pPr>
      <w:r>
        <w:t xml:space="preserve">Tough comparisons against unusually favorable reserve development in Q2 2025.</w:t>
      </w:r>
    </w:p>
    <w:p>
      <w:pPr>
        <w:pStyle w:val="Compact"/>
        <w:numPr>
          <w:ilvl w:val="0"/>
          <w:numId w:val="1001"/>
        </w:numPr>
      </w:pPr>
      <w:r>
        <w:t xml:space="preserve">Moderating commercial insurance pricing.</w:t>
      </w:r>
    </w:p>
    <w:p>
      <w:pPr>
        <w:pStyle w:val="Compact"/>
        <w:numPr>
          <w:ilvl w:val="0"/>
          <w:numId w:val="1001"/>
        </w:numPr>
      </w:pPr>
      <w:r>
        <w:t xml:space="preserve">Continued pressure in Employee Benefits disability results and expenses.</w:t>
      </w:r>
    </w:p>
    <w:p>
      <w:pPr>
        <w:pStyle w:val="Compact"/>
        <w:numPr>
          <w:ilvl w:val="0"/>
          <w:numId w:val="1001"/>
        </w:numPr>
      </w:pPr>
      <w:r>
        <w:t xml:space="preserve">Catastrophe volatility from an active U.S. severe-convective-storm season.</w:t>
      </w:r>
    </w:p>
    <w:p>
      <w:pPr>
        <w:pStyle w:val="FirstParagraph"/>
      </w:pPr>
      <w:r>
        <w:t xml:space="preserve">The most important result will not necessarily be headline EPS. It will be whether</w:t>
      </w:r>
      <w:r>
        <w:t xml:space="preserve"> </w:t>
      </w:r>
      <w:r>
        <w:rPr>
          <w:b/>
          <w:bCs/>
        </w:rPr>
        <w:t xml:space="preserve">Business Insurance margins remain durable as pricing moderates</w:t>
      </w:r>
      <w:r>
        <w:t xml:space="preserve">, and whether management can demonstrate that Personal Insurance and Employee Benefits are progressing without sacrificing growth or expense discipline.</w:t>
      </w:r>
    </w:p>
    <w:bookmarkEnd w:id="10"/>
    <w:bookmarkStart w:id="12" w:name="street-expectations"/>
    <w:p>
      <w:pPr>
        <w:pStyle w:val="Heading2"/>
      </w:pPr>
      <w:r>
        <w:t xml:space="preserve">Street expectations</w:t>
      </w:r>
    </w:p>
    <w:tbl>
      <w:tblPr>
        <w:tblStyle w:val="Table"/>
        <w:tblW w:type="auto" w:w="0"/>
        <w:tblLook w:firstRow="1" w:lastRow="0" w:firstColumn="0" w:lastColumn="0" w:noHBand="0" w:noVBand="0" w:val="0020"/>
      </w:tblPr>
      <w:tblGrid>
        <w:gridCol w:w="1980"/>
        <w:gridCol w:w="1980"/>
        <w:gridCol w:w="1980"/>
        <w:gridCol w:w="1980"/>
      </w:tblGrid>
      <w:tr>
        <w:trPr>
          <w:tblHeader w:val="on"/>
        </w:trPr>
        <w:tc>
          <w:tcPr/>
          <w:p>
            <w:pPr>
              <w:pStyle w:val="Compact"/>
            </w:pPr>
            <w:r>
              <w:t xml:space="preserve">Metric</w:t>
            </w:r>
          </w:p>
        </w:tc>
        <w:tc>
          <w:tcPr/>
          <w:p>
            <w:pPr>
              <w:pStyle w:val="Compact"/>
              <w:jc w:val="right"/>
            </w:pPr>
            <w:r>
              <w:t xml:space="preserve">Q2 2026 consensus</w:t>
            </w:r>
          </w:p>
        </w:tc>
        <w:tc>
          <w:tcPr/>
          <w:p>
            <w:pPr>
              <w:pStyle w:val="Compact"/>
              <w:jc w:val="right"/>
            </w:pPr>
            <w:r>
              <w:t xml:space="preserve">Q2 2025 actual</w:t>
            </w:r>
          </w:p>
        </w:tc>
        <w:tc>
          <w:tcPr/>
          <w:p>
            <w:pPr>
              <w:pStyle w:val="Compact"/>
            </w:pPr>
            <w:r>
              <w:t xml:space="preserve">Investor interpretation</w:t>
            </w:r>
          </w:p>
        </w:tc>
      </w:tr>
      <w:tr>
        <w:tc>
          <w:tcPr/>
          <w:p>
            <w:pPr>
              <w:pStyle w:val="Compact"/>
            </w:pPr>
            <w:r>
              <w:t xml:space="preserve">Core EPS</w:t>
            </w:r>
          </w:p>
        </w:tc>
        <w:tc>
          <w:tcPr/>
          <w:p>
            <w:pPr>
              <w:pStyle w:val="Compact"/>
              <w:jc w:val="right"/>
            </w:pPr>
            <w:r>
              <w:rPr>
                <w:b/>
                <w:bCs/>
              </w:rPr>
              <w:t xml:space="preserve">$3.13</w:t>
            </w:r>
          </w:p>
        </w:tc>
        <w:tc>
          <w:tcPr/>
          <w:p>
            <w:pPr>
              <w:pStyle w:val="Compact"/>
              <w:jc w:val="right"/>
            </w:pPr>
            <w:r>
              <w:t xml:space="preserve">$3.41 as originally reported</w:t>
            </w:r>
          </w:p>
        </w:tc>
        <w:tc>
          <w:tcPr/>
          <w:p>
            <w:pPr>
              <w:pStyle w:val="Compact"/>
            </w:pPr>
            <w:r>
              <w:t xml:space="preserve">Comparison is distorted by Hartford Funds reclassification</w:t>
            </w:r>
          </w:p>
        </w:tc>
      </w:tr>
      <w:tr>
        <w:tc>
          <w:tcPr/>
          <w:p>
            <w:pPr>
              <w:pStyle w:val="Compact"/>
            </w:pPr>
            <w:r>
              <w:t xml:space="preserve">Business Insurance underlying combined ratio</w:t>
            </w:r>
          </w:p>
        </w:tc>
        <w:tc>
          <w:tcPr/>
          <w:p>
            <w:pPr>
              <w:pStyle w:val="Compact"/>
              <w:jc w:val="right"/>
            </w:pPr>
            <w:r>
              <w:rPr>
                <w:b/>
                <w:bCs/>
              </w:rPr>
              <w:t xml:space="preserve">88.6%</w:t>
            </w:r>
          </w:p>
        </w:tc>
        <w:tc>
          <w:tcPr/>
          <w:p>
            <w:pPr>
              <w:pStyle w:val="Compact"/>
              <w:jc w:val="right"/>
            </w:pPr>
            <w:r>
              <w:t xml:space="preserve">88.0%</w:t>
            </w:r>
          </w:p>
        </w:tc>
        <w:tc>
          <w:tcPr/>
          <w:p>
            <w:pPr>
              <w:pStyle w:val="Compact"/>
            </w:pPr>
            <w:r>
              <w:t xml:space="preserve">Modest expected deterioration</w:t>
            </w:r>
          </w:p>
        </w:tc>
      </w:tr>
      <w:tr>
        <w:tc>
          <w:tcPr/>
          <w:p>
            <w:pPr>
              <w:pStyle w:val="Compact"/>
            </w:pPr>
            <w:r>
              <w:t xml:space="preserve">Business Insurance reported combined ratio</w:t>
            </w:r>
          </w:p>
        </w:tc>
        <w:tc>
          <w:tcPr/>
          <w:p>
            <w:pPr>
              <w:pStyle w:val="Compact"/>
              <w:jc w:val="right"/>
            </w:pPr>
            <w:r>
              <w:rPr>
                <w:b/>
                <w:bCs/>
              </w:rPr>
              <w:t xml:space="preserve">91.9%</w:t>
            </w:r>
          </w:p>
        </w:tc>
        <w:tc>
          <w:tcPr/>
          <w:p>
            <w:pPr>
              <w:pStyle w:val="Compact"/>
              <w:jc w:val="right"/>
            </w:pPr>
            <w:r>
              <w:t xml:space="preserve">87.0%</w:t>
            </w:r>
          </w:p>
        </w:tc>
        <w:tc>
          <w:tcPr/>
          <w:p>
            <w:pPr>
              <w:pStyle w:val="Compact"/>
            </w:pPr>
            <w:r>
              <w:t xml:space="preserve">Mainly reflects less favorable reserve development</w:t>
            </w:r>
          </w:p>
        </w:tc>
      </w:tr>
      <w:tr>
        <w:tc>
          <w:tcPr/>
          <w:p>
            <w:pPr>
              <w:pStyle w:val="Compact"/>
            </w:pPr>
            <w:r>
              <w:t xml:space="preserve">Business Insurance expense ratio</w:t>
            </w:r>
          </w:p>
        </w:tc>
        <w:tc>
          <w:tcPr/>
          <w:p>
            <w:pPr>
              <w:pStyle w:val="Compact"/>
              <w:jc w:val="right"/>
            </w:pPr>
            <w:r>
              <w:rPr>
                <w:b/>
                <w:bCs/>
              </w:rPr>
              <w:t xml:space="preserve">30.9%</w:t>
            </w:r>
          </w:p>
        </w:tc>
        <w:tc>
          <w:tcPr/>
          <w:p>
            <w:pPr>
              <w:pStyle w:val="Compact"/>
              <w:jc w:val="right"/>
            </w:pPr>
            <w:r>
              <w:t xml:space="preserve">30.6%</w:t>
            </w:r>
          </w:p>
        </w:tc>
        <w:tc>
          <w:tcPr/>
          <w:p>
            <w:pPr>
              <w:pStyle w:val="Compact"/>
            </w:pPr>
            <w:r>
              <w:t xml:space="preserve">Expenses remain a key concern</w:t>
            </w:r>
          </w:p>
        </w:tc>
      </w:tr>
      <w:tr>
        <w:tc>
          <w:tcPr/>
          <w:p>
            <w:pPr>
              <w:pStyle w:val="Compact"/>
            </w:pPr>
            <w:r>
              <w:t xml:space="preserve">Personal Insurance combined ratio</w:t>
            </w:r>
          </w:p>
        </w:tc>
        <w:tc>
          <w:tcPr/>
          <w:p>
            <w:pPr>
              <w:pStyle w:val="Compact"/>
              <w:jc w:val="right"/>
            </w:pPr>
            <w:r>
              <w:rPr>
                <w:b/>
                <w:bCs/>
              </w:rPr>
              <w:t xml:space="preserve">96.5%</w:t>
            </w:r>
          </w:p>
        </w:tc>
        <w:tc>
          <w:tcPr/>
          <w:p>
            <w:pPr>
              <w:pStyle w:val="Compact"/>
              <w:jc w:val="right"/>
            </w:pPr>
            <w:r>
              <w:t xml:space="preserve">94.1%</w:t>
            </w:r>
          </w:p>
        </w:tc>
        <w:tc>
          <w:tcPr/>
          <w:p>
            <w:pPr>
              <w:pStyle w:val="Compact"/>
            </w:pPr>
            <w:r>
              <w:t xml:space="preserve">CAT losses could obscure solid underlying margins</w:t>
            </w:r>
          </w:p>
        </w:tc>
      </w:tr>
      <w:tr>
        <w:tc>
          <w:tcPr/>
          <w:p>
            <w:pPr>
              <w:pStyle w:val="Compact"/>
            </w:pPr>
            <w:r>
              <w:t xml:space="preserve">Personal Insurance earned premium</w:t>
            </w:r>
          </w:p>
        </w:tc>
        <w:tc>
          <w:tcPr/>
          <w:p>
            <w:pPr>
              <w:pStyle w:val="Compact"/>
              <w:jc w:val="right"/>
            </w:pPr>
            <w:r>
              <w:rPr>
                <w:b/>
                <w:bCs/>
              </w:rPr>
              <w:t xml:space="preserve">$914 million</w:t>
            </w:r>
          </w:p>
        </w:tc>
        <w:tc>
          <w:tcPr/>
          <w:p>
            <w:pPr>
              <w:pStyle w:val="Compact"/>
              <w:jc w:val="right"/>
            </w:pPr>
            <w:r>
              <w:t xml:space="preserve">$931 million</w:t>
            </w:r>
          </w:p>
        </w:tc>
        <w:tc>
          <w:tcPr/>
          <w:p>
            <w:pPr>
              <w:pStyle w:val="Compact"/>
            </w:pPr>
            <w:r>
              <w:t xml:space="preserve">Reflects shrinking auto policy count</w:t>
            </w:r>
          </w:p>
        </w:tc>
      </w:tr>
      <w:tr>
        <w:tc>
          <w:tcPr/>
          <w:p>
            <w:pPr>
              <w:pStyle w:val="Compact"/>
            </w:pPr>
            <w:r>
              <w:t xml:space="preserve">Employee Benefits loss ratio</w:t>
            </w:r>
          </w:p>
        </w:tc>
        <w:tc>
          <w:tcPr/>
          <w:p>
            <w:pPr>
              <w:pStyle w:val="Compact"/>
              <w:jc w:val="right"/>
            </w:pPr>
            <w:r>
              <w:rPr>
                <w:b/>
                <w:bCs/>
              </w:rPr>
              <w:t xml:space="preserve">72.2%</w:t>
            </w:r>
          </w:p>
        </w:tc>
        <w:tc>
          <w:tcPr/>
          <w:p>
            <w:pPr>
              <w:pStyle w:val="Compact"/>
              <w:jc w:val="right"/>
            </w:pPr>
            <w:r>
              <w:t xml:space="preserve">69.1%</w:t>
            </w:r>
          </w:p>
        </w:tc>
        <w:tc>
          <w:tcPr/>
          <w:p>
            <w:pPr>
              <w:pStyle w:val="Compact"/>
            </w:pPr>
            <w:r>
              <w:t xml:space="preserve">Disability utilization is the principal pressure point</w:t>
            </w:r>
          </w:p>
        </w:tc>
      </w:tr>
      <w:tr>
        <w:tc>
          <w:tcPr/>
          <w:p>
            <w:pPr>
              <w:pStyle w:val="Compact"/>
            </w:pPr>
            <w:r>
              <w:t xml:space="preserve">Employee Benefits expense ratio</w:t>
            </w:r>
          </w:p>
        </w:tc>
        <w:tc>
          <w:tcPr/>
          <w:p>
            <w:pPr>
              <w:pStyle w:val="Compact"/>
              <w:jc w:val="right"/>
            </w:pPr>
            <w:r>
              <w:rPr>
                <w:b/>
                <w:bCs/>
              </w:rPr>
              <w:t xml:space="preserve">25.9%</w:t>
            </w:r>
          </w:p>
        </w:tc>
        <w:tc>
          <w:tcPr/>
          <w:p>
            <w:pPr>
              <w:pStyle w:val="Compact"/>
              <w:jc w:val="right"/>
            </w:pPr>
            <w:r>
              <w:t xml:space="preserve">25.7%</w:t>
            </w:r>
          </w:p>
        </w:tc>
        <w:tc>
          <w:tcPr/>
          <w:p>
            <w:pPr>
              <w:pStyle w:val="Compact"/>
            </w:pPr>
            <w:r>
              <w:t xml:space="preserve">Technology and staffing costs remain elevated</w:t>
            </w:r>
          </w:p>
        </w:tc>
      </w:tr>
    </w:tbl>
    <w:p>
      <w:pPr>
        <w:pStyle w:val="BodyText"/>
      </w:pPr>
      <w:r>
        <w:t xml:space="preserve">Consensus EPS has fallen approximately 2% over the past month. Nine estimates range from $2.74 to $3.44, indicating considerable uncertainty around catastrophe losses, reserve development and the new reporting presentation. (</w:t>
      </w:r>
      <w:hyperlink r:id="rId11">
        <w:r>
          <w:rPr>
            <w:rStyle w:val="Hyperlink"/>
          </w:rPr>
          <w:t xml:space="preserve">barchart.com</w:t>
        </w:r>
      </w:hyperlink>
      <w:r>
        <w:t xml:space="preserve">)</w:t>
      </w:r>
    </w:p>
    <w:bookmarkEnd w:id="12"/>
    <w:bookmarkStart w:id="14" w:name="X1ed55295774bb68640ebeb322a414f07032bad8"/>
    <w:p>
      <w:pPr>
        <w:pStyle w:val="Heading2"/>
      </w:pPr>
      <w:r>
        <w:t xml:space="preserve">1. Hartford Funds will make the headline numbers harder to read</w:t>
      </w:r>
    </w:p>
    <w:p>
      <w:pPr>
        <w:pStyle w:val="FirstParagraph"/>
      </w:pPr>
      <w:r>
        <w:t xml:space="preserve">This is the first quarter in which Hartford Funds will be classified as a discontinued operation following the June agreement to sell the business to Wellington Management. Consequently:</w:t>
      </w:r>
    </w:p>
    <w:p>
      <w:pPr>
        <w:pStyle w:val="Compact"/>
        <w:numPr>
          <w:ilvl w:val="0"/>
          <w:numId w:val="1002"/>
        </w:numPr>
      </w:pPr>
      <w:r>
        <w:t xml:space="preserve">Hartford Funds’ earnings will remain in GAAP net income until closing but will be</w:t>
      </w:r>
      <w:r>
        <w:t xml:space="preserve"> </w:t>
      </w:r>
      <w:r>
        <w:rPr>
          <w:b/>
          <w:bCs/>
        </w:rPr>
        <w:t xml:space="preserve">excluded from core earnings beginning in Q2 2026</w:t>
      </w:r>
      <w:r>
        <w:t xml:space="preserve">.</w:t>
      </w:r>
    </w:p>
    <w:p>
      <w:pPr>
        <w:pStyle w:val="Compact"/>
        <w:numPr>
          <w:ilvl w:val="0"/>
          <w:numId w:val="1002"/>
        </w:numPr>
      </w:pPr>
      <w:r>
        <w:t xml:space="preserve">The company recast Q1 2026 core EPS from</w:t>
      </w:r>
      <w:r>
        <w:t xml:space="preserve"> </w:t>
      </w:r>
      <m:oMath>
        <m:r>
          <m:t>3.09</m:t>
        </m:r>
        <m:r>
          <m:t>t</m:t>
        </m:r>
        <m:r>
          <m:t>o</m:t>
        </m:r>
        <m:r>
          <m:rPr>
            <m:sty m:val="p"/>
          </m:rPr>
          <m:t>*</m:t>
        </m:r>
        <m:r>
          <m:rPr>
            <m:sty m:val="p"/>
          </m:rPr>
          <m:t>*</m:t>
        </m:r>
      </m:oMath>
      <w:r>
        <w:t xml:space="preserve">2.90** on a pro forma continuing-operations basis.</w:t>
      </w:r>
    </w:p>
    <w:p>
      <w:pPr>
        <w:pStyle w:val="Compact"/>
        <w:numPr>
          <w:ilvl w:val="0"/>
          <w:numId w:val="1002"/>
        </w:numPr>
      </w:pPr>
      <w:r>
        <w:t xml:space="preserve">Full-year 2025 core EPS was recast from</w:t>
      </w:r>
      <w:r>
        <w:t xml:space="preserve"> </w:t>
      </w:r>
      <m:oMath>
        <m:r>
          <m:t>13.42</m:t>
        </m:r>
        <m:r>
          <m:t>t</m:t>
        </m:r>
        <m:r>
          <m:t>o</m:t>
        </m:r>
        <m:r>
          <m:rPr>
            <m:sty m:val="p"/>
          </m:rPr>
          <m:t>*</m:t>
        </m:r>
        <m:r>
          <m:rPr>
            <m:sty m:val="p"/>
          </m:rPr>
          <m:t>*</m:t>
        </m:r>
      </m:oMath>
      <w:r>
        <w:t xml:space="preserve">12.68**.</w:t>
      </w:r>
    </w:p>
    <w:p>
      <w:pPr>
        <w:pStyle w:val="Compact"/>
        <w:numPr>
          <w:ilvl w:val="0"/>
          <w:numId w:val="1002"/>
        </w:numPr>
      </w:pPr>
      <w:r>
        <w:t xml:space="preserve">HIG expects to record an estimated</w:t>
      </w:r>
      <w:r>
        <w:t xml:space="preserve"> </w:t>
      </w:r>
      <w:r>
        <w:rPr>
          <w:b/>
          <w:bCs/>
        </w:rPr>
        <w:t xml:space="preserve">$250 million deferred tax asset</w:t>
      </w:r>
      <w:r>
        <w:t xml:space="preserve"> </w:t>
      </w:r>
      <w:r>
        <w:t xml:space="preserve">in Q2, affecting GAAP net income but not core earnings.</w:t>
      </w:r>
    </w:p>
    <w:p>
      <w:pPr>
        <w:pStyle w:val="Compact"/>
        <w:numPr>
          <w:ilvl w:val="0"/>
          <w:numId w:val="1002"/>
        </w:numPr>
      </w:pPr>
      <w:r>
        <w:t xml:space="preserve">Transaction costs through closing are estimated at approximately $55 million after tax.</w:t>
      </w:r>
    </w:p>
    <w:p>
      <w:pPr>
        <w:pStyle w:val="FirstParagraph"/>
      </w:pPr>
      <w:r>
        <w:t xml:space="preserve">The transaction has an estimated net present value of $1.9 billion, including $300 million at closing and subsequent cash-flow payments. Closing is expected in Q1 2027. Initial quarterly payments following closing are estimated at roughly $65 million, but those payments will be reported in net income rather than core earnings. (</w:t>
      </w:r>
      <w:hyperlink r:id="rId13">
        <w:r>
          <w:rPr>
            <w:rStyle w:val="Hyperlink"/>
          </w:rPr>
          <w:t xml:space="preserve">s203.q4cdn.com</w:t>
        </w:r>
      </w:hyperlink>
      <w:r>
        <w:t xml:space="preserve">)</w:t>
      </w:r>
    </w:p>
    <w:p>
      <w:pPr>
        <w:pStyle w:val="BodyText"/>
      </w:pPr>
      <w:r>
        <w:rPr>
          <w:b/>
          <w:bCs/>
        </w:rPr>
        <w:t xml:space="preserve">What to listen for:</w:t>
      </w:r>
    </w:p>
    <w:p>
      <w:pPr>
        <w:pStyle w:val="Compact"/>
        <w:numPr>
          <w:ilvl w:val="0"/>
          <w:numId w:val="1003"/>
        </w:numPr>
      </w:pPr>
      <w:r>
        <w:t xml:space="preserve">A clean bridge between reported EPS, continuing operations and core EPS.</w:t>
      </w:r>
    </w:p>
    <w:p>
      <w:pPr>
        <w:pStyle w:val="Compact"/>
        <w:numPr>
          <w:ilvl w:val="0"/>
          <w:numId w:val="1003"/>
        </w:numPr>
      </w:pPr>
      <w:r>
        <w:t xml:space="preserve">Any updated estimate of stranded corporate costs.</w:t>
      </w:r>
    </w:p>
    <w:p>
      <w:pPr>
        <w:pStyle w:val="Compact"/>
        <w:numPr>
          <w:ilvl w:val="0"/>
          <w:numId w:val="1003"/>
        </w:numPr>
      </w:pPr>
      <w:r>
        <w:t xml:space="preserve">Whether Hartford Funds’ pre-closing dividend—estimated at approximately $170 million—changes the near-term buyback plan.</w:t>
      </w:r>
    </w:p>
    <w:p>
      <w:pPr>
        <w:pStyle w:val="Compact"/>
        <w:numPr>
          <w:ilvl w:val="0"/>
          <w:numId w:val="1003"/>
        </w:numPr>
      </w:pPr>
      <w:r>
        <w:t xml:space="preserve">How management plans to deploy transaction proceeds after closing.</w:t>
      </w:r>
    </w:p>
    <w:p>
      <w:pPr>
        <w:pStyle w:val="FirstParagraph"/>
      </w:pPr>
      <w:r>
        <w:t xml:space="preserve">Investors should avoid treating a large GAAP beat or miss as fundamentally meaningful until the tax asset, discontinued operations and transaction costs are separated.</w:t>
      </w:r>
    </w:p>
    <w:bookmarkEnd w:id="14"/>
    <w:bookmarkStart w:id="16" w:name="X297944928ab221d04a8720c9d7f95c64ab8d509"/>
    <w:p>
      <w:pPr>
        <w:pStyle w:val="Heading2"/>
      </w:pPr>
      <w:r>
        <w:t xml:space="preserve">2. Business Insurance is still the central debate</w:t>
      </w:r>
    </w:p>
    <w:p>
      <w:pPr>
        <w:pStyle w:val="FirstParagraph"/>
      </w:pPr>
      <w:r>
        <w:t xml:space="preserve">Business Insurance generated 6% written-premium growth and an 89.2% underlying combined ratio in Q1. Small Business grew 8%, Middle &amp; Large grew 5%, and Global Specialty grew 3%.</w:t>
      </w:r>
    </w:p>
    <w:p>
      <w:pPr>
        <w:pStyle w:val="BodyText"/>
      </w:pPr>
      <w:r>
        <w:t xml:space="preserve">The pricing backdrop remains adequate but is clearly moderating:</w:t>
      </w:r>
    </w:p>
    <w:p>
      <w:pPr>
        <w:pStyle w:val="Compact"/>
        <w:numPr>
          <w:ilvl w:val="0"/>
          <w:numId w:val="1004"/>
        </w:numPr>
      </w:pPr>
      <w:r>
        <w:t xml:space="preserve">Renewal pricing excluding workers’ compensation was approximately 6% in Q1.</w:t>
      </w:r>
    </w:p>
    <w:p>
      <w:pPr>
        <w:pStyle w:val="Compact"/>
        <w:numPr>
          <w:ilvl w:val="0"/>
          <w:numId w:val="1004"/>
        </w:numPr>
      </w:pPr>
      <w:r>
        <w:t xml:space="preserve">General liability pricing was 9.7%.</w:t>
      </w:r>
    </w:p>
    <w:p>
      <w:pPr>
        <w:pStyle w:val="Compact"/>
        <w:numPr>
          <w:ilvl w:val="0"/>
          <w:numId w:val="1004"/>
        </w:numPr>
      </w:pPr>
      <w:r>
        <w:t xml:space="preserve">Small Business pricing excluding workers’ compensation was 7.2%.</w:t>
      </w:r>
    </w:p>
    <w:p>
      <w:pPr>
        <w:pStyle w:val="Compact"/>
        <w:numPr>
          <w:ilvl w:val="0"/>
          <w:numId w:val="1004"/>
        </w:numPr>
      </w:pPr>
      <w:r>
        <w:t xml:space="preserve">Property remains highly profitable, but rate increases are slowing.</w:t>
      </w:r>
    </w:p>
    <w:p>
      <w:pPr>
        <w:pStyle w:val="Compact"/>
        <w:numPr>
          <w:ilvl w:val="0"/>
          <w:numId w:val="1004"/>
        </w:numPr>
      </w:pPr>
      <w:r>
        <w:t xml:space="preserve">Workers’ compensation remains competitive, with management expecting modest margin deterioration.</w:t>
      </w:r>
    </w:p>
    <w:p>
      <w:pPr>
        <w:pStyle w:val="FirstParagraph"/>
      </w:pPr>
      <w:r>
        <w:t xml:space="preserve">The Street expects the underlying combined ratio to improve sequentially from 89.2% to</w:t>
      </w:r>
      <w:r>
        <w:t xml:space="preserve"> </w:t>
      </w:r>
      <w:r>
        <w:rPr>
          <w:b/>
          <w:bCs/>
        </w:rPr>
        <w:t xml:space="preserve">88.6%</w:t>
      </w:r>
      <w:r>
        <w:t xml:space="preserve">, while deteriorating 60 basis points year over year. That is a reasonable hurdle. A result below 88.5% with mid-single-digit premium growth would reinforce the durability of HIG’s commercial franchise; a ratio above 90% would raise concerns that pricing moderation and expense pressure are arriving faster than expected. (</w:t>
      </w:r>
      <w:hyperlink r:id="rId15">
        <w:r>
          <w:rPr>
            <w:rStyle w:val="Hyperlink"/>
          </w:rPr>
          <w:t xml:space="preserve">zacks.com</w:t>
        </w:r>
      </w:hyperlink>
      <w:r>
        <w:t xml:space="preserve">)</w:t>
      </w:r>
    </w:p>
    <w:p>
      <w:pPr>
        <w:pStyle w:val="BodyText"/>
      </w:pPr>
      <w:r>
        <w:rPr>
          <w:b/>
          <w:bCs/>
        </w:rPr>
        <w:t xml:space="preserve">Key questions:</w:t>
      </w:r>
    </w:p>
    <w:p>
      <w:pPr>
        <w:pStyle w:val="Compact"/>
        <w:numPr>
          <w:ilvl w:val="0"/>
          <w:numId w:val="1005"/>
        </w:numPr>
      </w:pPr>
      <w:r>
        <w:t xml:space="preserve">Is commercial casualty pricing still above prospective loss-cost trends?</w:t>
      </w:r>
    </w:p>
    <w:p>
      <w:pPr>
        <w:pStyle w:val="Compact"/>
        <w:numPr>
          <w:ilvl w:val="0"/>
          <w:numId w:val="1005"/>
        </w:numPr>
      </w:pPr>
      <w:r>
        <w:t xml:space="preserve">Has pricing in Small Business remained more resilient than in larger accounts?</w:t>
      </w:r>
    </w:p>
    <w:p>
      <w:pPr>
        <w:pStyle w:val="Compact"/>
        <w:numPr>
          <w:ilvl w:val="0"/>
          <w:numId w:val="1005"/>
        </w:numPr>
      </w:pPr>
      <w:r>
        <w:t xml:space="preserve">Is HIG continuing to gain market share, or has submission flow begun to slow?</w:t>
      </w:r>
    </w:p>
    <w:p>
      <w:pPr>
        <w:pStyle w:val="Compact"/>
        <w:numPr>
          <w:ilvl w:val="0"/>
          <w:numId w:val="1005"/>
        </w:numPr>
      </w:pPr>
      <w:r>
        <w:t xml:space="preserve">Can Global Specialty maintain mid-80s underlying margins despite softer property and financial-lines conditions?</w:t>
      </w:r>
    </w:p>
    <w:p>
      <w:pPr>
        <w:pStyle w:val="Compact"/>
        <w:numPr>
          <w:ilvl w:val="0"/>
          <w:numId w:val="1005"/>
        </w:numPr>
      </w:pPr>
      <w:r>
        <w:t xml:space="preserve">Is workers’ compensation deterioration still “modest”?</w:t>
      </w:r>
    </w:p>
    <w:p>
      <w:pPr>
        <w:pStyle w:val="FirstParagraph"/>
      </w:pPr>
      <w:r>
        <w:t xml:space="preserve">The best outcome is not necessarily maximum premium growth. Investors should prefer HIG sacrificing marginal volume rather than defending growth with inadequate pricing.</w:t>
      </w:r>
    </w:p>
    <w:bookmarkEnd w:id="16"/>
    <w:bookmarkStart w:id="18" w:name="X80dab9b11970fec10256642a1ce860b0d597070"/>
    <w:p>
      <w:pPr>
        <w:pStyle w:val="Heading2"/>
      </w:pPr>
      <w:r>
        <w:t xml:space="preserve">3. Catastrophes and reserve development may drive the EPS surprise</w:t>
      </w:r>
    </w:p>
    <w:p>
      <w:pPr>
        <w:pStyle w:val="FirstParagraph"/>
      </w:pPr>
      <w:r>
        <w:t xml:space="preserve">Q2 2025 was an exceptionally favorable comparison:</w:t>
      </w:r>
    </w:p>
    <w:p>
      <w:pPr>
        <w:pStyle w:val="Compact"/>
        <w:numPr>
          <w:ilvl w:val="0"/>
          <w:numId w:val="1006"/>
        </w:numPr>
      </w:pPr>
      <w:r>
        <w:t xml:space="preserve">P&amp;C catastrophe losses were $212 million.</w:t>
      </w:r>
    </w:p>
    <w:p>
      <w:pPr>
        <w:pStyle w:val="Compact"/>
        <w:numPr>
          <w:ilvl w:val="0"/>
          <w:numId w:val="1006"/>
        </w:numPr>
      </w:pPr>
      <w:r>
        <w:t xml:space="preserve">Business Insurance recorded $122 million of favorable prior-year development in core earnings.</w:t>
      </w:r>
    </w:p>
    <w:p>
      <w:pPr>
        <w:pStyle w:val="Compact"/>
        <w:numPr>
          <w:ilvl w:val="0"/>
          <w:numId w:val="1006"/>
        </w:numPr>
      </w:pPr>
      <w:r>
        <w:t xml:space="preserve">Total favorable P&amp;C development in core earnings was $163 million.</w:t>
      </w:r>
    </w:p>
    <w:p>
      <w:pPr>
        <w:pStyle w:val="FirstParagraph"/>
      </w:pPr>
      <w:r>
        <w:t xml:space="preserve">Industry estimates put global insured catastrophe losses near $24 billion in Q2 2026, with U.S. severe convective storms accounting for most of the burden and primary insurers absorbing much of it. Nevertheless, first-half global catastrophe losses remained below long-term averages, and Allstate’s Q2 catastrophe losses declined year over year. (</w:t>
      </w:r>
      <w:hyperlink r:id="rId17">
        <w:r>
          <w:rPr>
            <w:rStyle w:val="Hyperlink"/>
          </w:rPr>
          <w:t xml:space="preserve">reinsurancene.ws</w:t>
        </w:r>
      </w:hyperlink>
      <w:r>
        <w:t xml:space="preserve">)</w:t>
      </w:r>
    </w:p>
    <w:p>
      <w:pPr>
        <w:pStyle w:val="BodyText"/>
      </w:pPr>
      <w:r>
        <w:t xml:space="preserve">This suggests catastrophe losses could be manageable, but HIG’s exposure mix matters more than the industry total. Small-business property and homeowners can be sensitive to hail, tornado and wind events.</w:t>
      </w:r>
    </w:p>
    <w:p>
      <w:pPr>
        <w:pStyle w:val="BodyText"/>
      </w:pPr>
      <w:r>
        <w:t xml:space="preserve">HIG began the year with $204 million of catastrophe losses eligible toward its aggregate reinsurance treaty’s $750 million attachment point; Global Re losses are excluded. Investors should watch both Q2 losses and the cumulative amount toward that attachment.</w:t>
      </w:r>
    </w:p>
    <w:p>
      <w:pPr>
        <w:pStyle w:val="BodyText"/>
      </w:pPr>
      <w:r>
        <w:t xml:space="preserve">Reserve development is an equally important swing factor. Q1 included favorable workers’ compensation and Personal Insurance development, offset by a $70 million increase in legacy general-liability reserves. A repeat of Q2 2025’s favorable reserve release is unlikely and does not appear embedded in consensus.</w:t>
      </w:r>
    </w:p>
    <w:bookmarkEnd w:id="18"/>
    <w:bookmarkStart w:id="19" w:name="X508e69098859113bc598ea139d8d92e6fbe5222"/>
    <w:p>
      <w:pPr>
        <w:pStyle w:val="Heading2"/>
      </w:pPr>
      <w:r>
        <w:t xml:space="preserve">4. Personal Insurance: margins are strong, but growth remains weak</w:t>
      </w:r>
    </w:p>
    <w:p>
      <w:pPr>
        <w:pStyle w:val="FirstParagraph"/>
      </w:pPr>
      <w:r>
        <w:t xml:space="preserve">Personal Insurance was the standout in Q1:</w:t>
      </w:r>
    </w:p>
    <w:p>
      <w:pPr>
        <w:pStyle w:val="Compact"/>
        <w:numPr>
          <w:ilvl w:val="0"/>
          <w:numId w:val="1007"/>
        </w:numPr>
      </w:pPr>
      <w:r>
        <w:t xml:space="preserve">Underlying combined ratio:</w:t>
      </w:r>
      <w:r>
        <w:t xml:space="preserve"> </w:t>
      </w:r>
      <w:r>
        <w:rPr>
          <w:b/>
          <w:bCs/>
        </w:rPr>
        <w:t xml:space="preserve">85.0%</w:t>
      </w:r>
    </w:p>
    <w:p>
      <w:pPr>
        <w:pStyle w:val="Compact"/>
        <w:numPr>
          <w:ilvl w:val="0"/>
          <w:numId w:val="1007"/>
        </w:numPr>
      </w:pPr>
      <w:r>
        <w:t xml:space="preserve">Auto underlying combined ratio:</w:t>
      </w:r>
      <w:r>
        <w:t xml:space="preserve"> </w:t>
      </w:r>
      <w:r>
        <w:rPr>
          <w:b/>
          <w:bCs/>
        </w:rPr>
        <w:t xml:space="preserve">92.2%</w:t>
      </w:r>
    </w:p>
    <w:p>
      <w:pPr>
        <w:pStyle w:val="Compact"/>
        <w:numPr>
          <w:ilvl w:val="0"/>
          <w:numId w:val="1007"/>
        </w:numPr>
      </w:pPr>
      <w:r>
        <w:t xml:space="preserve">Homeowners underlying combined ratio:</w:t>
      </w:r>
      <w:r>
        <w:t xml:space="preserve"> </w:t>
      </w:r>
      <w:r>
        <w:rPr>
          <w:b/>
          <w:bCs/>
        </w:rPr>
        <w:t xml:space="preserve">71.0%</w:t>
      </w:r>
    </w:p>
    <w:p>
      <w:pPr>
        <w:pStyle w:val="Compact"/>
        <w:numPr>
          <w:ilvl w:val="0"/>
          <w:numId w:val="1007"/>
        </w:numPr>
      </w:pPr>
      <w:r>
        <w:t xml:space="preserve">Written premium: down 6%</w:t>
      </w:r>
    </w:p>
    <w:p>
      <w:pPr>
        <w:pStyle w:val="Compact"/>
        <w:numPr>
          <w:ilvl w:val="0"/>
          <w:numId w:val="1007"/>
        </w:numPr>
      </w:pPr>
      <w:r>
        <w:t xml:space="preserve">Auto written premium: down 10%</w:t>
      </w:r>
    </w:p>
    <w:p>
      <w:pPr>
        <w:pStyle w:val="Compact"/>
        <w:numPr>
          <w:ilvl w:val="0"/>
          <w:numId w:val="1007"/>
        </w:numPr>
      </w:pPr>
      <w:r>
        <w:t xml:space="preserve">Agency-channel growth: up 9%</w:t>
      </w:r>
    </w:p>
    <w:p>
      <w:pPr>
        <w:pStyle w:val="FirstParagraph"/>
      </w:pPr>
      <w:r>
        <w:t xml:space="preserve">The margin recovery is real, but it has come with shrinking policy counts. More than 70% of HIG’s auto book uses annual policies, so competitive rate reductions can affect retention and new business more slowly than at carriers using six-month policies.</w:t>
      </w:r>
    </w:p>
    <w:p>
      <w:pPr>
        <w:pStyle w:val="BodyText"/>
      </w:pPr>
      <w:r>
        <w:t xml:space="preserve">The key test is whether HIG can preserve low-90s auto underlying margins while renewal pricing moderates. The company does not need rapid direct-channel growth this quarter, but investors will want evidence that retention is stabilizing and that the agency rollout is producing profitable incremental business.</w:t>
      </w:r>
    </w:p>
    <w:p>
      <w:pPr>
        <w:pStyle w:val="BodyText"/>
      </w:pPr>
      <w:r>
        <w:rPr>
          <w:b/>
          <w:bCs/>
        </w:rPr>
        <w:t xml:space="preserve">Positive signals would include:</w:t>
      </w:r>
    </w:p>
    <w:p>
      <w:pPr>
        <w:pStyle w:val="Compact"/>
        <w:numPr>
          <w:ilvl w:val="0"/>
          <w:numId w:val="1008"/>
        </w:numPr>
      </w:pPr>
      <w:r>
        <w:t xml:space="preserve">Auto underlying combined ratio around 92% or better.</w:t>
      </w:r>
    </w:p>
    <w:p>
      <w:pPr>
        <w:pStyle w:val="Compact"/>
        <w:numPr>
          <w:ilvl w:val="0"/>
          <w:numId w:val="1008"/>
        </w:numPr>
      </w:pPr>
      <w:r>
        <w:t xml:space="preserve">Homeowners underlying margins remaining in the low-to-mid 70s despite Q2 storms.</w:t>
      </w:r>
    </w:p>
    <w:p>
      <w:pPr>
        <w:pStyle w:val="Compact"/>
        <w:numPr>
          <w:ilvl w:val="0"/>
          <w:numId w:val="1008"/>
        </w:numPr>
      </w:pPr>
      <w:r>
        <w:t xml:space="preserve">Continued agency growth.</w:t>
      </w:r>
    </w:p>
    <w:p>
      <w:pPr>
        <w:pStyle w:val="Compact"/>
        <w:numPr>
          <w:ilvl w:val="0"/>
          <w:numId w:val="1008"/>
        </w:numPr>
      </w:pPr>
      <w:r>
        <w:t xml:space="preserve">Improving retention as rate increases moderate.</w:t>
      </w:r>
    </w:p>
    <w:p>
      <w:pPr>
        <w:pStyle w:val="FirstParagraph"/>
      </w:pPr>
      <w:r>
        <w:rPr>
          <w:b/>
          <w:bCs/>
        </w:rPr>
        <w:t xml:space="preserve">Warning signs would include:</w:t>
      </w:r>
    </w:p>
    <w:p>
      <w:pPr>
        <w:pStyle w:val="Compact"/>
        <w:numPr>
          <w:ilvl w:val="0"/>
          <w:numId w:val="1009"/>
        </w:numPr>
      </w:pPr>
      <w:r>
        <w:t xml:space="preserve">Material auto margin deterioration before policy counts stabilize.</w:t>
      </w:r>
    </w:p>
    <w:p>
      <w:pPr>
        <w:pStyle w:val="Compact"/>
        <w:numPr>
          <w:ilvl w:val="0"/>
          <w:numId w:val="1009"/>
        </w:numPr>
      </w:pPr>
      <w:r>
        <w:t xml:space="preserve">New-business discounts becoming necessary to defend share.</w:t>
      </w:r>
    </w:p>
    <w:p>
      <w:pPr>
        <w:pStyle w:val="Compact"/>
        <w:numPr>
          <w:ilvl w:val="0"/>
          <w:numId w:val="1009"/>
        </w:numPr>
      </w:pPr>
      <w:r>
        <w:t xml:space="preserve">Personal Insurance expenses rising despite lower premium volume.</w:t>
      </w:r>
    </w:p>
    <w:bookmarkEnd w:id="19"/>
    <w:bookmarkStart w:id="20" w:name="X38ab2eca3b2224f34a4a953294738e72ba3535b"/>
    <w:p>
      <w:pPr>
        <w:pStyle w:val="Heading2"/>
      </w:pPr>
      <w:r>
        <w:t xml:space="preserve">5. Employee Benefits is the clearest operational risk</w:t>
      </w:r>
    </w:p>
    <w:p>
      <w:pPr>
        <w:pStyle w:val="FirstParagraph"/>
      </w:pPr>
      <w:r>
        <w:t xml:space="preserve">Employee Benefits produced a 6.9% core margin in Q1, down from 7.6% a year earlier. Life results were strong, but the disability loss ratio deteriorated because of:</w:t>
      </w:r>
    </w:p>
    <w:p>
      <w:pPr>
        <w:pStyle w:val="Compact"/>
        <w:numPr>
          <w:ilvl w:val="0"/>
          <w:numId w:val="1010"/>
        </w:numPr>
      </w:pPr>
      <w:r>
        <w:t xml:space="preserve">Higher short-term disability incidence.</w:t>
      </w:r>
    </w:p>
    <w:p>
      <w:pPr>
        <w:pStyle w:val="Compact"/>
        <w:numPr>
          <w:ilvl w:val="0"/>
          <w:numId w:val="1010"/>
        </w:numPr>
      </w:pPr>
      <w:r>
        <w:t xml:space="preserve">Elevated Paid Family and Medical Leave utilization.</w:t>
      </w:r>
    </w:p>
    <w:p>
      <w:pPr>
        <w:pStyle w:val="Compact"/>
        <w:numPr>
          <w:ilvl w:val="0"/>
          <w:numId w:val="1010"/>
        </w:numPr>
      </w:pPr>
      <w:r>
        <w:t xml:space="preserve">Less favorable long-term disability experience.</w:t>
      </w:r>
    </w:p>
    <w:p>
      <w:pPr>
        <w:pStyle w:val="Compact"/>
        <w:numPr>
          <w:ilvl w:val="0"/>
          <w:numId w:val="1010"/>
        </w:numPr>
      </w:pPr>
      <w:r>
        <w:t xml:space="preserve">Higher staffing and technology costs.</w:t>
      </w:r>
    </w:p>
    <w:p>
      <w:pPr>
        <w:pStyle w:val="FirstParagraph"/>
      </w:pPr>
      <w:r>
        <w:t xml:space="preserve">Management previously said new state PFML programs often experience pent-up demand during their first few months, with utilization expected to moderate later. It is also applying double-digit PFML rate increases.</w:t>
      </w:r>
    </w:p>
    <w:p>
      <w:pPr>
        <w:pStyle w:val="BodyText"/>
      </w:pPr>
      <w:r>
        <w:t xml:space="preserve">Consensus calls for a</w:t>
      </w:r>
      <w:r>
        <w:t xml:space="preserve"> </w:t>
      </w:r>
      <w:r>
        <w:rPr>
          <w:b/>
          <w:bCs/>
        </w:rPr>
        <w:t xml:space="preserve">72.2% total loss ratio</w:t>
      </w:r>
      <w:r>
        <w:t xml:space="preserve">, versus 69.1% last year, and a 25.9% expense ratio. (</w:t>
      </w:r>
      <w:hyperlink r:id="rId15">
        <w:r>
          <w:rPr>
            <w:rStyle w:val="Hyperlink"/>
          </w:rPr>
          <w:t xml:space="preserve">zacks.com</w:t>
        </w:r>
      </w:hyperlink>
      <w:r>
        <w:t xml:space="preserve">)</w:t>
      </w:r>
    </w:p>
    <w:p>
      <w:pPr>
        <w:pStyle w:val="BodyText"/>
      </w:pPr>
      <w:r>
        <w:t xml:space="preserve">A credible quarter should show that disability deterioration is contained and that pricing actions are beginning to offset utilization. Another substantial sequential increase in disability losses would call into question the segment’s ability to maintain high-single-digit margins.</w:t>
      </w:r>
    </w:p>
    <w:bookmarkEnd w:id="20"/>
    <w:bookmarkStart w:id="21" w:name="Xc59b42f5e04772ebd700acbf858ecece395cca9"/>
    <w:p>
      <w:pPr>
        <w:pStyle w:val="Heading2"/>
      </w:pPr>
      <w:r>
        <w:t xml:space="preserve">6. Investment income should remain a meaningful tailwind</w:t>
      </w:r>
    </w:p>
    <w:p>
      <w:pPr>
        <w:pStyle w:val="FirstParagraph"/>
      </w:pPr>
      <w:r>
        <w:t xml:space="preserve">Q1 net investment income increased 13% to $739 million. Excluding limited partnerships, income grew approximately 8%, aided by a larger asset base and reinvestment yields above portfolio runoff yields.</w:t>
      </w:r>
    </w:p>
    <w:p>
      <w:pPr>
        <w:pStyle w:val="BodyText"/>
      </w:pPr>
      <w:r>
        <w:t xml:space="preserve">The Q1 average reinvestment rate was 5.3%, compared with 4.9% on sales and maturities. Management expects full-year net investment income to increase, although limited-partnership returns remain volatile.</w:t>
      </w:r>
    </w:p>
    <w:p>
      <w:pPr>
        <w:pStyle w:val="BodyText"/>
      </w:pPr>
      <w:r>
        <w:t xml:space="preserve">Consensus expects:</w:t>
      </w:r>
    </w:p>
    <w:p>
      <w:pPr>
        <w:pStyle w:val="Compact"/>
        <w:numPr>
          <w:ilvl w:val="0"/>
          <w:numId w:val="1011"/>
        </w:numPr>
      </w:pPr>
      <w:r>
        <w:t xml:space="preserve">P&amp;C net investment income of approximately</w:t>
      </w:r>
      <w:r>
        <w:t xml:space="preserve"> </w:t>
      </w:r>
      <w:r>
        <w:rPr>
          <w:b/>
          <w:bCs/>
        </w:rPr>
        <w:t xml:space="preserve">$589 million</w:t>
      </w:r>
      <w:r>
        <w:t xml:space="preserve">.</w:t>
      </w:r>
    </w:p>
    <w:p>
      <w:pPr>
        <w:pStyle w:val="Compact"/>
        <w:numPr>
          <w:ilvl w:val="0"/>
          <w:numId w:val="1011"/>
        </w:numPr>
      </w:pPr>
      <w:r>
        <w:t xml:space="preserve">Employee Benefits investment income of approximately</w:t>
      </w:r>
      <w:r>
        <w:t xml:space="preserve"> </w:t>
      </w:r>
      <w:r>
        <w:rPr>
          <w:b/>
          <w:bCs/>
        </w:rPr>
        <w:t xml:space="preserve">$135 million</w:t>
      </w:r>
      <w:r>
        <w:t xml:space="preserve">. (</w:t>
      </w:r>
      <w:hyperlink r:id="rId15">
        <w:r>
          <w:rPr>
            <w:rStyle w:val="Hyperlink"/>
          </w:rPr>
          <w:t xml:space="preserve">zacks.com</w:t>
        </w:r>
      </w:hyperlink>
      <w:r>
        <w:t xml:space="preserve">)</w:t>
      </w:r>
    </w:p>
    <w:p>
      <w:pPr>
        <w:pStyle w:val="FirstParagraph"/>
      </w:pPr>
      <w:r>
        <w:t xml:space="preserve">A result above those levels could offset weaker reserve development or Employee Benefits margins. Investors should separate recurring fixed-income growth from more volatile limited-partnership returns.</w:t>
      </w:r>
    </w:p>
    <w:bookmarkEnd w:id="21"/>
    <w:bookmarkStart w:id="22" w:name="X601688c2fe944451d669cc3645f0f0770cdd14e"/>
    <w:p>
      <w:pPr>
        <w:pStyle w:val="Heading2"/>
      </w:pPr>
      <w:r>
        <w:t xml:space="preserve">7. Expenses and capital returns may determine the reaction</w:t>
      </w:r>
    </w:p>
    <w:p>
      <w:pPr>
        <w:pStyle w:val="FirstParagraph"/>
      </w:pPr>
      <w:r>
        <w:t xml:space="preserve">Management expects expense-ratio improvement across its major businesses during 2026 and continues to target a Business Insurance expense ratio below 30% by the end of 2027. Q1’s 31.6% ratio was elevated partly because of seasonal compensation costs and ongoing technology investment.</w:t>
      </w:r>
    </w:p>
    <w:p>
      <w:pPr>
        <w:pStyle w:val="BodyText"/>
      </w:pPr>
      <w:r>
        <w:t xml:space="preserve">The Street expects 30.9% in Q2. A figure near or below that level would support management’s expense story; another result above 31% would increase skepticism around the 2027 target.</w:t>
      </w:r>
    </w:p>
    <w:p>
      <w:pPr>
        <w:pStyle w:val="BodyText"/>
      </w:pPr>
      <w:r>
        <w:t xml:space="preserve">HIG repurchased $450 million of stock in Q1 and said it expected a similar amount in Q2. It had $1.1 billion remaining under the authorization at March 31 and had already repurchased another $111 million through April 22.</w:t>
      </w:r>
    </w:p>
    <w:p>
      <w:pPr>
        <w:pStyle w:val="BodyText"/>
      </w:pPr>
      <w:r>
        <w:t xml:space="preserve">At the July 22 closing price, HIG traded at approximately:</w:t>
      </w:r>
    </w:p>
    <w:p>
      <w:pPr>
        <w:pStyle w:val="Compact"/>
        <w:numPr>
          <w:ilvl w:val="0"/>
          <w:numId w:val="1012"/>
        </w:numPr>
      </w:pPr>
      <w:r>
        <w:rPr>
          <w:b/>
          <w:bCs/>
        </w:rPr>
        <w:t xml:space="preserve">11.1 times</w:t>
      </w:r>
      <w:r>
        <w:t xml:space="preserve"> </w:t>
      </w:r>
      <w:r>
        <w:t xml:space="preserve">recast 2025 core EPS of $12.68.</w:t>
      </w:r>
    </w:p>
    <w:p>
      <w:pPr>
        <w:pStyle w:val="Compact"/>
        <w:numPr>
          <w:ilvl w:val="0"/>
          <w:numId w:val="1012"/>
        </w:numPr>
      </w:pPr>
      <w:r>
        <w:rPr>
          <w:b/>
          <w:bCs/>
        </w:rPr>
        <w:t xml:space="preserve">1.9 times</w:t>
      </w:r>
      <w:r>
        <w:t xml:space="preserve"> </w:t>
      </w:r>
      <w:r>
        <w:t xml:space="preserve">Q1 book value per share excluding AOCI.</w:t>
      </w:r>
    </w:p>
    <w:p>
      <w:pPr>
        <w:pStyle w:val="FirstParagraph"/>
      </w:pPr>
      <w:r>
        <w:t xml:space="preserve">The stock was up only about 2% year to date through July 22, significantly lagging several large P&amp;C peers and the broader market. Expectations therefore appear less demanding than for some competitors, but HIG needs to restore confidence after missing Q1 consensus.</w:t>
      </w:r>
    </w:p>
    <w:bookmarkEnd w:id="22"/>
    <w:bookmarkStart w:id="26" w:name="what-would-constitute-a-good-report"/>
    <w:p>
      <w:pPr>
        <w:pStyle w:val="Heading2"/>
      </w:pPr>
      <w:r>
        <w:t xml:space="preserve">What would constitute a good report?</w:t>
      </w:r>
    </w:p>
    <w:bookmarkStart w:id="23" w:name="bullish"/>
    <w:p>
      <w:pPr>
        <w:pStyle w:val="Heading3"/>
      </w:pPr>
      <w:r>
        <w:t xml:space="preserve">Bullish</w:t>
      </w:r>
    </w:p>
    <w:p>
      <w:pPr>
        <w:pStyle w:val="Compact"/>
        <w:numPr>
          <w:ilvl w:val="0"/>
          <w:numId w:val="1013"/>
        </w:numPr>
      </w:pPr>
      <w:r>
        <w:t xml:space="preserve">Core EPS above roughly</w:t>
      </w:r>
      <w:r>
        <w:t xml:space="preserve"> </w:t>
      </w:r>
      <w:r>
        <w:rPr>
          <w:b/>
          <w:bCs/>
        </w:rPr>
        <w:t xml:space="preserve">$3.25</w:t>
      </w:r>
      <w:r>
        <w:t xml:space="preserve"> </w:t>
      </w:r>
      <w:r>
        <w:t xml:space="preserve">on a clean continuing-operations basis.</w:t>
      </w:r>
    </w:p>
    <w:p>
      <w:pPr>
        <w:pStyle w:val="Compact"/>
        <w:numPr>
          <w:ilvl w:val="0"/>
          <w:numId w:val="1013"/>
        </w:numPr>
      </w:pPr>
      <w:r>
        <w:t xml:space="preserve">Business Insurance underlying combined ratio below</w:t>
      </w:r>
      <w:r>
        <w:t xml:space="preserve"> </w:t>
      </w:r>
      <w:r>
        <w:rPr>
          <w:b/>
          <w:bCs/>
        </w:rPr>
        <w:t xml:space="preserve">88.5%</w:t>
      </w:r>
      <w:r>
        <w:t xml:space="preserve">.</w:t>
      </w:r>
    </w:p>
    <w:p>
      <w:pPr>
        <w:pStyle w:val="Compact"/>
        <w:numPr>
          <w:ilvl w:val="0"/>
          <w:numId w:val="1013"/>
        </w:numPr>
      </w:pPr>
      <w:r>
        <w:t xml:space="preserve">Commercial pricing still comfortably above casualty loss trends.</w:t>
      </w:r>
    </w:p>
    <w:p>
      <w:pPr>
        <w:pStyle w:val="Compact"/>
        <w:numPr>
          <w:ilvl w:val="0"/>
          <w:numId w:val="1013"/>
        </w:numPr>
      </w:pPr>
      <w:r>
        <w:t xml:space="preserve">Manageable catastrophe losses and at least modest favorable reserve development.</w:t>
      </w:r>
    </w:p>
    <w:p>
      <w:pPr>
        <w:pStyle w:val="Compact"/>
        <w:numPr>
          <w:ilvl w:val="0"/>
          <w:numId w:val="1013"/>
        </w:numPr>
      </w:pPr>
      <w:r>
        <w:t xml:space="preserve">Personal Insurance underlying margins remain strong.</w:t>
      </w:r>
    </w:p>
    <w:p>
      <w:pPr>
        <w:pStyle w:val="Compact"/>
        <w:numPr>
          <w:ilvl w:val="0"/>
          <w:numId w:val="1013"/>
        </w:numPr>
      </w:pPr>
      <w:r>
        <w:t xml:space="preserve">Employee Benefits disability results stabilize.</w:t>
      </w:r>
    </w:p>
    <w:p>
      <w:pPr>
        <w:pStyle w:val="Compact"/>
        <w:numPr>
          <w:ilvl w:val="0"/>
          <w:numId w:val="1013"/>
        </w:numPr>
      </w:pPr>
      <w:r>
        <w:t xml:space="preserve">Business Insurance expense ratio approaches 30%.</w:t>
      </w:r>
    </w:p>
    <w:p>
      <w:pPr>
        <w:pStyle w:val="Compact"/>
        <w:numPr>
          <w:ilvl w:val="0"/>
          <w:numId w:val="1013"/>
        </w:numPr>
      </w:pPr>
      <w:r>
        <w:t xml:space="preserve">Q2 buybacks remain near the indicated $450 million pace.</w:t>
      </w:r>
    </w:p>
    <w:bookmarkEnd w:id="23"/>
    <w:bookmarkStart w:id="24" w:name="neutral"/>
    <w:p>
      <w:pPr>
        <w:pStyle w:val="Heading3"/>
      </w:pPr>
      <w:r>
        <w:t xml:space="preserve">Neutral</w:t>
      </w:r>
    </w:p>
    <w:p>
      <w:pPr>
        <w:pStyle w:val="Compact"/>
        <w:numPr>
          <w:ilvl w:val="0"/>
          <w:numId w:val="1014"/>
        </w:numPr>
      </w:pPr>
      <w:r>
        <w:t xml:space="preserve">EPS near the $3.13 consensus.</w:t>
      </w:r>
    </w:p>
    <w:p>
      <w:pPr>
        <w:pStyle w:val="Compact"/>
        <w:numPr>
          <w:ilvl w:val="0"/>
          <w:numId w:val="1014"/>
        </w:numPr>
      </w:pPr>
      <w:r>
        <w:t xml:space="preserve">Business Insurance underlying combined ratio of 88.5%–89.5%.</w:t>
      </w:r>
    </w:p>
    <w:p>
      <w:pPr>
        <w:pStyle w:val="Compact"/>
        <w:numPr>
          <w:ilvl w:val="0"/>
          <w:numId w:val="1014"/>
        </w:numPr>
      </w:pPr>
      <w:r>
        <w:t xml:space="preserve">Higher catastrophe losses offset by investment income.</w:t>
      </w:r>
    </w:p>
    <w:p>
      <w:pPr>
        <w:pStyle w:val="Compact"/>
        <w:numPr>
          <w:ilvl w:val="0"/>
          <w:numId w:val="1014"/>
        </w:numPr>
      </w:pPr>
      <w:r>
        <w:t xml:space="preserve">Continued Personal Insurance profitability but weak policy growth.</w:t>
      </w:r>
    </w:p>
    <w:p>
      <w:pPr>
        <w:pStyle w:val="Compact"/>
        <w:numPr>
          <w:ilvl w:val="0"/>
          <w:numId w:val="1014"/>
        </w:numPr>
      </w:pPr>
      <w:r>
        <w:t xml:space="preserve">Employee Benefits remains pressured without further deterioration.</w:t>
      </w:r>
    </w:p>
    <w:p>
      <w:pPr>
        <w:pStyle w:val="Compact"/>
        <w:numPr>
          <w:ilvl w:val="0"/>
          <w:numId w:val="1014"/>
        </w:numPr>
      </w:pPr>
      <w:r>
        <w:t xml:space="preserve">Hartford Funds accounting produces noise but no change in transaction economics.</w:t>
      </w:r>
    </w:p>
    <w:bookmarkEnd w:id="24"/>
    <w:bookmarkStart w:id="25" w:name="bearish"/>
    <w:p>
      <w:pPr>
        <w:pStyle w:val="Heading3"/>
      </w:pPr>
      <w:r>
        <w:t xml:space="preserve">Bearish</w:t>
      </w:r>
    </w:p>
    <w:p>
      <w:pPr>
        <w:pStyle w:val="Compact"/>
        <w:numPr>
          <w:ilvl w:val="0"/>
          <w:numId w:val="1015"/>
        </w:numPr>
      </w:pPr>
      <w:r>
        <w:t xml:space="preserve">Business Insurance underlying combined ratio above 90%.</w:t>
      </w:r>
    </w:p>
    <w:p>
      <w:pPr>
        <w:pStyle w:val="Compact"/>
        <w:numPr>
          <w:ilvl w:val="0"/>
          <w:numId w:val="1015"/>
        </w:numPr>
      </w:pPr>
      <w:r>
        <w:t xml:space="preserve">Material commercial casualty reserve additions.</w:t>
      </w:r>
    </w:p>
    <w:p>
      <w:pPr>
        <w:pStyle w:val="Compact"/>
        <w:numPr>
          <w:ilvl w:val="0"/>
          <w:numId w:val="1015"/>
        </w:numPr>
      </w:pPr>
      <w:r>
        <w:t xml:space="preserve">Pricing drops toward or below loss-cost trends.</w:t>
      </w:r>
    </w:p>
    <w:p>
      <w:pPr>
        <w:pStyle w:val="Compact"/>
        <w:numPr>
          <w:ilvl w:val="0"/>
          <w:numId w:val="1015"/>
        </w:numPr>
      </w:pPr>
      <w:r>
        <w:t xml:space="preserve">Personal auto margins weaken before retention improves.</w:t>
      </w:r>
    </w:p>
    <w:p>
      <w:pPr>
        <w:pStyle w:val="Compact"/>
        <w:numPr>
          <w:ilvl w:val="0"/>
          <w:numId w:val="1015"/>
        </w:numPr>
      </w:pPr>
      <w:r>
        <w:t xml:space="preserve">Employee Benefits disability losses deteriorate again.</w:t>
      </w:r>
    </w:p>
    <w:p>
      <w:pPr>
        <w:pStyle w:val="Compact"/>
        <w:numPr>
          <w:ilvl w:val="0"/>
          <w:numId w:val="1015"/>
        </w:numPr>
      </w:pPr>
      <w:r>
        <w:t xml:space="preserve">Expenses remain elevated with no credible path toward management’s targets.</w:t>
      </w:r>
    </w:p>
    <w:p>
      <w:pPr>
        <w:pStyle w:val="Compact"/>
        <w:numPr>
          <w:ilvl w:val="0"/>
          <w:numId w:val="1015"/>
        </w:numPr>
      </w:pPr>
      <w:r>
        <w:t xml:space="preserve">Buybacks slow despite strong holding-company liquidity.</w:t>
      </w:r>
    </w:p>
    <w:bookmarkEnd w:id="25"/>
    <w:bookmarkEnd w:id="26"/>
    <w:bookmarkStart w:id="27" w:name="bottom-line"/>
    <w:p>
      <w:pPr>
        <w:pStyle w:val="Heading2"/>
      </w:pPr>
      <w:r>
        <w:t xml:space="preserve">Bottom line</w:t>
      </w:r>
    </w:p>
    <w:p>
      <w:pPr>
        <w:pStyle w:val="FirstParagraph"/>
      </w:pPr>
      <w:r>
        <w:t xml:space="preserve">The Hartford enters Q2 with</w:t>
      </w:r>
      <w:r>
        <w:t xml:space="preserve"> </w:t>
      </w:r>
      <w:r>
        <w:rPr>
          <w:b/>
          <w:bCs/>
        </w:rPr>
        <w:t xml:space="preserve">high-quality underlying insurance margins and strong investment-income support</w:t>
      </w:r>
      <w:r>
        <w:t xml:space="preserve">, but the report has several potential distractions. The Hartford Funds reclassification will make headline comparisons less useful, while reserve development and catastrophe losses could materially move quarterly EPS.</w:t>
      </w:r>
    </w:p>
    <w:p>
      <w:pPr>
        <w:pStyle w:val="BodyText"/>
      </w:pPr>
      <w:r>
        <w:t xml:space="preserve">The most important numbers are:</w:t>
      </w:r>
    </w:p>
    <w:p>
      <w:pPr>
        <w:pStyle w:val="Compact"/>
        <w:numPr>
          <w:ilvl w:val="0"/>
          <w:numId w:val="1016"/>
        </w:numPr>
      </w:pPr>
      <w:r>
        <w:rPr>
          <w:b/>
          <w:bCs/>
        </w:rPr>
        <w:t xml:space="preserve">Business Insurance underlying combined ratio</w:t>
      </w:r>
    </w:p>
    <w:p>
      <w:pPr>
        <w:pStyle w:val="Compact"/>
        <w:numPr>
          <w:ilvl w:val="0"/>
          <w:numId w:val="1016"/>
        </w:numPr>
      </w:pPr>
      <w:r>
        <w:rPr>
          <w:b/>
          <w:bCs/>
        </w:rPr>
        <w:t xml:space="preserve">Commercial pricing relative to loss trend</w:t>
      </w:r>
    </w:p>
    <w:p>
      <w:pPr>
        <w:pStyle w:val="Compact"/>
        <w:numPr>
          <w:ilvl w:val="0"/>
          <w:numId w:val="1016"/>
        </w:numPr>
      </w:pPr>
      <w:r>
        <w:rPr>
          <w:b/>
          <w:bCs/>
        </w:rPr>
        <w:t xml:space="preserve">Personal auto underlying profitability and policy retention</w:t>
      </w:r>
    </w:p>
    <w:p>
      <w:pPr>
        <w:pStyle w:val="Compact"/>
        <w:numPr>
          <w:ilvl w:val="0"/>
          <w:numId w:val="1016"/>
        </w:numPr>
      </w:pPr>
      <w:r>
        <w:rPr>
          <w:b/>
          <w:bCs/>
        </w:rPr>
        <w:t xml:space="preserve">Employee Benefits disability loss ratio</w:t>
      </w:r>
    </w:p>
    <w:p>
      <w:pPr>
        <w:pStyle w:val="Compact"/>
        <w:numPr>
          <w:ilvl w:val="0"/>
          <w:numId w:val="1016"/>
        </w:numPr>
      </w:pPr>
      <w:r>
        <w:rPr>
          <w:b/>
          <w:bCs/>
        </w:rPr>
        <w:t xml:space="preserve">Business Insurance expense ratio</w:t>
      </w:r>
    </w:p>
    <w:p>
      <w:pPr>
        <w:pStyle w:val="Compact"/>
        <w:numPr>
          <w:ilvl w:val="0"/>
          <w:numId w:val="1016"/>
        </w:numPr>
      </w:pPr>
      <w:r>
        <w:rPr>
          <w:b/>
          <w:bCs/>
        </w:rPr>
        <w:t xml:space="preserve">Share repurchases and post-Hartford Funds capital-allocation commentary</w:t>
      </w:r>
    </w:p>
    <w:p>
      <w:pPr>
        <w:pStyle w:val="FirstParagraph"/>
      </w:pPr>
      <w:r>
        <w:t xml:space="preserve">If HIG delivers an underlying Business Insurance ratio around 88.5%, holds Personal Insurance margins and demonstrates stabilization in Employee Benefits, the report should be viewed positively even if headline EPS is complicated by discontinued-operations accounting.</w:t>
      </w:r>
    </w:p>
    <w:bookmarkEnd w:id="27"/>
    <w:bookmarkEnd w:id="28"/>
    <w:sectPr>
      <w:footnotePr>
        <w:numRestart w:val="eachSect"/>
      </w:footnotePr>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Cambria Math">
    <w:panose1 w:val="02040503050406030204"/>
    <w:charset w:val="00"/>
    <w:family w:val="roman"/>
    <w:pitch w:val="variable"/>
    <w:sig w:usb0="E00002FF" w:usb1="420024FF" w:usb2="00000000" w:usb3="00000000" w:csb0="0000019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0000A990"/>
    <w:multiLevelType w:val="multilevel"/>
    <w:lvl w:ilvl="0">
      <w:numFmt w:val="bullet"/>
      <w:lvlText w:val=" "/>
      <w:lvlJc w:val="left"/>
      <w:pPr>
        <w:ind w:left="720" w:hanging="360"/>
      </w:pPr>
    </w:lvl>
    <w:lvl w:ilvl="1">
      <w:numFmt w:val="bullet"/>
      <w:lvlText w:val=" "/>
      <w:lvlJc w:val="left"/>
      <w:pPr>
        <w:ind w:left="1440" w:hanging="360"/>
      </w:pPr>
    </w:lvl>
    <w:lvl w:ilvl="2">
      <w:numFmt w:val="bullet"/>
      <w:lvlText w:val=" "/>
      <w:lvlJc w:val="left"/>
      <w:pPr>
        <w:ind w:left="2160" w:hanging="360"/>
      </w:pPr>
    </w:lvl>
    <w:lvl w:ilvl="3">
      <w:numFmt w:val="bullet"/>
      <w:lvlText w:val=" "/>
      <w:lvlJc w:val="left"/>
      <w:pPr>
        <w:ind w:left="2880" w:hanging="360"/>
      </w:pPr>
    </w:lvl>
    <w:lvl w:ilvl="4">
      <w:numFmt w:val="bullet"/>
      <w:lvlText w:val=" "/>
      <w:lvlJc w:val="left"/>
      <w:pPr>
        <w:ind w:left="3600" w:hanging="360"/>
      </w:pPr>
    </w:lvl>
    <w:lvl w:ilvl="5">
      <w:numFmt w:val="bullet"/>
      <w:lvlText w:val=" "/>
      <w:lvlJc w:val="left"/>
      <w:pPr>
        <w:ind w:left="4320" w:hanging="360"/>
      </w:pPr>
    </w:lvl>
    <w:lvl w:ilvl="6">
      <w:numFmt w:val="bullet"/>
      <w:lvlText w:val=" "/>
      <w:lvlJc w:val="left"/>
      <w:pPr>
        <w:ind w:left="5040" w:hanging="360"/>
      </w:pPr>
    </w:lvl>
    <w:lvl w:ilvl="7">
      <w:numFmt w:val="bullet"/>
      <w:lvlText w:val=" "/>
      <w:lvlJc w:val="left"/>
      <w:pPr>
        <w:ind w:left="5760" w:hanging="360"/>
      </w:pPr>
    </w:lvl>
    <w:lvl w:ilvl="8">
      <w:numFmt w:val="bullet"/>
      <w:lvlText w:val=" "/>
      <w:lvlJc w:val="left"/>
      <w:pPr>
        <w:ind w:left="6480" w:hanging="360"/>
      </w:pPr>
    </w:lvl>
  </w:abstractNum>
  <w:abstractNum w:abstractNumId="99411">
    <w:nsid w:val="00A99411"/>
    <w:multiLevelType w:val="multilevel"/>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991">
    <w:nsid w:val="0000A991"/>
    <w:multiLevelType w:val="multilevel"/>
    <w:lvl w:ilvl="0">
      <w:numFmt w:val="bullet"/>
      <w:lvlText w:val=""/>
      <w:lvlJc w:val="left"/>
      <w:pPr>
        <w:ind w:left="720" w:hanging="360"/>
      </w:pPr>
      <w:rPr>
        <w:rFonts w:ascii="Symbol" w:hAnsi="Symbol" w:cs="Symbol" w:hint="default"/>
      </w:rPr>
    </w:lvl>
    <w:lvl w:ilvl="1">
      <w:numFmt w:val="bullet"/>
      <w:lvlText w:val="o"/>
      <w:lvlJc w:val="left"/>
      <w:pPr>
        <w:ind w:left="1440" w:hanging="360"/>
      </w:pPr>
      <w:rPr>
        <w:rFonts w:ascii="Courier New" w:hAnsi="Courier New" w:cs="Courier New" w:hint="default"/>
      </w:rPr>
    </w:lvl>
    <w:lvl w:ilvl="2">
      <w:numFmt w:val="bullet"/>
      <w:lvlText w:val=""/>
      <w:lvlJc w:val="left"/>
      <w:pPr>
        <w:ind w:left="2160" w:hanging="360"/>
      </w:pPr>
      <w:rPr>
        <w:rFonts w:ascii="Wingdings" w:hAnsi="Wingdings" w:cs="Wingdings" w:hint="default"/>
      </w:rPr>
    </w:lvl>
    <w:lvl w:ilvl="3">
      <w:numFmt w:val="bullet"/>
      <w:lvlText w:val=""/>
      <w:lvlJc w:val="left"/>
      <w:pPr>
        <w:ind w:left="2880" w:hanging="360"/>
      </w:pPr>
      <w:rPr>
        <w:rFonts w:ascii="Symbol" w:hAnsi="Symbol" w:cs="Symbol" w:hint="default"/>
      </w:rPr>
    </w:lvl>
    <w:lvl w:ilvl="4">
      <w:numFmt w:val="bullet"/>
      <w:lvlText w:val="o"/>
      <w:lvlJc w:val="left"/>
      <w:pPr>
        <w:ind w:left="3600" w:hanging="360"/>
      </w:pPr>
      <w:rPr>
        <w:rFonts w:ascii="Courier New" w:hAnsi="Courier New" w:cs="Courier New" w:hint="default"/>
      </w:rPr>
    </w:lvl>
    <w:lvl w:ilvl="5">
      <w:numFmt w:val="bullet"/>
      <w:lvlText w:val=""/>
      <w:lvlJc w:val="left"/>
      <w:pPr>
        <w:ind w:left="4320" w:hanging="360"/>
      </w:pPr>
      <w:rPr>
        <w:rFonts w:ascii="Wingdings" w:hAnsi="Wingdings" w:cs="Wingdings" w:hint="default"/>
      </w:rPr>
    </w:lvl>
    <w:lvl w:ilvl="6">
      <w:numFmt w:val="bullet"/>
      <w:lvlText w:val=""/>
      <w:lvlJc w:val="left"/>
      <w:pPr>
        <w:ind w:left="5040" w:hanging="360"/>
      </w:pPr>
      <w:rPr>
        <w:rFonts w:ascii="Symbol" w:hAnsi="Symbol" w:cs="Symbol" w:hint="default"/>
      </w:rPr>
    </w:lvl>
    <w:lvl w:ilvl="7">
      <w:numFmt w:val="bullet"/>
      <w:lvlText w:val="o"/>
      <w:lvlJc w:val="left"/>
      <w:pPr>
        <w:ind w:left="5760" w:hanging="360"/>
      </w:pPr>
      <w:rPr>
        <w:rFonts w:ascii="Courier New" w:hAnsi="Courier New" w:cs="Courier New" w:hint="default"/>
      </w:rPr>
    </w:lvl>
    <w:lvl w:ilvl="8">
      <w:numFmt w:val="bullet"/>
      <w:lvlText w:val=""/>
      <w:lvlJc w:val="left"/>
      <w:pPr>
        <w:ind w:left="6480" w:hanging="360"/>
      </w:pPr>
      <w:rPr>
        <w:rFonts w:ascii="Wingdings" w:hAnsi="Wingdings" w:cs="Wingdings" w:hint="default"/>
      </w:rPr>
    </w:lvl>
  </w:abstractNum>
  <w:num w:numId="1000">
    <w:abstractNumId w:val="990"/>
  </w:num>
  <w:num w:numId="1001">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 w:numId="1009">
    <w:abstractNumId w:val="991"/>
  </w:num>
  <w:num w:numId="1010">
    <w:abstractNumId w:val="991"/>
  </w:num>
  <w:num w:numId="1011">
    <w:abstractNumId w:val="991"/>
  </w:num>
  <w:num w:numId="1012">
    <w:abstractNumId w:val="991"/>
  </w:num>
  <w:num w:numId="1013">
    <w:abstractNumId w:val="991"/>
  </w:num>
  <w:num w:numId="1014">
    <w:abstractNumId w:val="991"/>
  </w:num>
  <w:num w:numId="1015">
    <w:abstractNumId w:val="991"/>
  </w:num>
  <w:num w:numId="1016">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zoom w:percent="100"/>
  <w:embedSystemFonts/>
  <w:proofState w:grammar="clean" w:spelling="clean"/>
  <w:stylePaneFormatFilter w:val="0004"/>
  <w:doNotTrackMoves/>
  <w:defaultTabStop w:val="720"/>
  <w:drawingGridHorizontalSpacing w:val="360"/>
  <w:drawingGridVerticalSpacing w:val="360"/>
  <w:displayHorizontalDrawingGridEvery w:val="0"/>
  <w:displayVerticalDrawingGridEvery w:val="0"/>
  <w:characterSpacingControl w:val="doNotCompress"/>
  <w:savePreviewPicture/>
  <w:rsids>
  </w:rsids>
  <w:themeFontLang w:val="en-US"/>
  <w:clrSchemeMapping w:accent1="accent1" w:accent2="accent2" w:accent3="accent3" w:accent4="accent4" w:accent5="accent5" w:accent6="accent6" w:bg1="light1" w:bg2="light2" w:followedHyperlink="followedHyperlink" w:hyperlink="hyperlink" w:t1="dark1" w:t2="dark2"/>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EastAsia" w:hAnsiTheme="minorHAnsi"/>
        <w:sz w:val="24"/>
        <w:szCs w:val="24"/>
        <w:lang w:bidi="ar-SA" w:eastAsia="zh-CN"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link w:val="TitleChar"/>
    <w:uiPriority w:val="10"/>
    <w:qFormat/>
    <w:rsid w:val="00A10FD9"/>
    <w:pPr>
      <w:spacing w:after="80" w:line="240" w:lineRule="auto"/>
      <w:contextualSpacing/>
      <w:jc w:val="center"/>
    </w:pPr>
    <w:rPr>
      <w:rFonts w:asciiTheme="majorHAnsi" w:cstheme="majorBidi" w:eastAsiaTheme="majorEastAsia" w:hAnsiTheme="majorHAnsi"/>
      <w:sz w:val="56"/>
      <w:szCs w:val="56"/>
    </w:rPr>
  </w:style>
  <w:style w:customStyle="1" w:styleId="TitleChar" w:type="character">
    <w:name w:val="Title Char"/>
    <w:basedOn w:val="DefaultParagraphFont"/>
    <w:link w:val="Title"/>
    <w:uiPriority w:val="10"/>
    <w:rsid w:val="00A10FD9"/>
    <w:rPr>
      <w:rFonts w:asciiTheme="majorHAnsi" w:cstheme="majorBidi" w:eastAsiaTheme="majorEastAsia" w:hAnsiTheme="majorHAnsi"/>
      <w:sz w:val="56"/>
      <w:szCs w:val="56"/>
    </w:rPr>
  </w:style>
  <w:style w:styleId="Subtitle" w:type="paragraph">
    <w:name w:val="Subtitle"/>
    <w:basedOn w:val="Title"/>
    <w:next w:val="BodyText"/>
    <w:link w:val="SubtitleChar"/>
    <w:uiPriority w:val="11"/>
    <w:qFormat/>
    <w:rsid w:val="00A10FD9"/>
    <w:pPr>
      <w:numPr>
        <w:ilvl w:val="1"/>
      </w:numPr>
    </w:pPr>
    <w:rPr>
      <w:rFonts w:cstheme="majorBidi" w:eastAsiaTheme="majorEastAsia"/>
      <w:spacing w:val="15"/>
      <w:sz w:val="28"/>
      <w:szCs w:val="28"/>
    </w:rPr>
  </w:style>
  <w:style w:customStyle="1" w:styleId="SubtitleChar" w:type="character">
    <w:name w:val="Subtitle Char"/>
    <w:basedOn w:val="DefaultParagraphFont"/>
    <w:link w:val="Subtitle"/>
    <w:uiPriority w:val="11"/>
    <w:rsid w:val="00A10FD9"/>
    <w:rPr>
      <w:rFonts w:cstheme="majorBidi" w:eastAsiaTheme="majorEastAsia"/>
      <w:color w:themeColor="text1" w:themeTint="A6" w:val="595959"/>
      <w:spacing w:val="15"/>
      <w:sz w:val="28"/>
      <w:szCs w:val="28"/>
    </w:rPr>
  </w:style>
  <w:style w:customStyle="1" w:styleId="Author" w:type="paragraph">
    <w:name w:val="Author"/>
    <w:basedOn w:val="Title"/>
    <w:next w:val="BodyText"/>
    <w:qFormat/>
    <w:pPr>
      <w:keepNext/>
      <w:keepLines/>
    </w:pPr>
    <w:rPr>
      <w:sz w:val="24"/>
      <w:szCs w:val="24"/>
    </w:rPr>
  </w:style>
  <w:style w:styleId="Date" w:type="paragraph">
    <w:name w:val="Date"/>
    <w:basedOn w:val="Title"/>
    <w:next w:val="BodyText"/>
    <w:qFormat/>
    <w:pPr>
      <w:keepNext/>
      <w:keepLines/>
    </w:pPr>
    <w:rPr>
      <w:sz w:val="24"/>
      <w:szCs w:val="24"/>
    </w:rPr>
  </w:style>
  <w:style w:customStyle="1" w:styleId="AbstractTitle" w:type="paragraph">
    <w:name w:val="Abstract Title"/>
    <w:basedOn w:val="Normal"/>
    <w:next w:val="Abstract"/>
    <w:qFormat/>
    <w:pPr>
      <w:keepNext/>
      <w:keepLines/>
      <w:spacing w:after="0" w:before="300"/>
      <w:jc w:val="center"/>
    </w:pPr>
    <w:rPr>
      <w:b/>
      <w:sz w:val="20"/>
      <w:szCs w:val="20"/>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link w:val="Heading1Char"/>
    <w:uiPriority w:val="9"/>
    <w:qFormat/>
    <w:rsid w:val="00A10FD9"/>
    <w:pPr>
      <w:keepNext/>
      <w:keepLines/>
      <w:spacing w:after="80" w:before="360"/>
      <w:outlineLvl w:val="0"/>
    </w:pPr>
    <w:rPr>
      <w:rFonts w:asciiTheme="majorHAnsi" w:cstheme="majorBidi" w:eastAsiaTheme="majorEastAsia" w:hAnsiTheme="majorHAnsi"/>
      <w:color w:themeColor="accent1" w:themeShade="BF" w:val="0F4761"/>
      <w:sz w:val="40"/>
      <w:szCs w:val="40"/>
    </w:rPr>
  </w:style>
  <w:style w:styleId="Heading2" w:type="paragraph">
    <w:name w:val="heading 2"/>
    <w:basedOn w:val="Normal"/>
    <w:next w:val="BodyText"/>
    <w:link w:val="Heading2Char"/>
    <w:uiPriority w:val="9"/>
    <w:semiHidden/>
    <w:unhideWhenUsed/>
    <w:qFormat/>
    <w:rsid w:val="00A10FD9"/>
    <w:pPr>
      <w:keepNext/>
      <w:keepLines/>
      <w:spacing w:after="80" w:before="160"/>
      <w:outlineLvl w:val="1"/>
    </w:pPr>
    <w:rPr>
      <w:rFonts w:asciiTheme="majorHAnsi" w:cstheme="majorBidi" w:eastAsiaTheme="majorEastAsia" w:hAnsiTheme="majorHAnsi"/>
      <w:color w:themeColor="accent1" w:themeShade="BF" w:val="0F4761"/>
      <w:sz w:val="32"/>
      <w:szCs w:val="32"/>
    </w:rPr>
  </w:style>
  <w:style w:styleId="Heading3" w:type="paragraph">
    <w:name w:val="heading 3"/>
    <w:basedOn w:val="Normal"/>
    <w:next w:val="BodyText"/>
    <w:link w:val="Heading3Char"/>
    <w:uiPriority w:val="9"/>
    <w:semiHidden/>
    <w:unhideWhenUsed/>
    <w:qFormat/>
    <w:rsid w:val="00A10FD9"/>
    <w:pPr>
      <w:keepNext/>
      <w:keepLines/>
      <w:spacing w:after="80" w:before="160"/>
      <w:outlineLvl w:val="2"/>
    </w:pPr>
    <w:rPr>
      <w:rFonts w:cstheme="majorBidi" w:eastAsiaTheme="majorEastAsia"/>
      <w:color w:themeColor="accent1" w:themeShade="BF" w:val="0F4761"/>
      <w:sz w:val="28"/>
      <w:szCs w:val="28"/>
    </w:rPr>
  </w:style>
  <w:style w:styleId="Heading4" w:type="paragraph">
    <w:name w:val="heading 4"/>
    <w:basedOn w:val="Normal"/>
    <w:next w:val="BodyText"/>
    <w:link w:val="Heading4Char"/>
    <w:uiPriority w:val="9"/>
    <w:semiHidden/>
    <w:unhideWhenUsed/>
    <w:qFormat/>
    <w:rsid w:val="00A10FD9"/>
    <w:pPr>
      <w:keepNext/>
      <w:keepLines/>
      <w:spacing w:after="40" w:before="80"/>
      <w:outlineLvl w:val="3"/>
    </w:pPr>
    <w:rPr>
      <w:rFonts w:cstheme="majorBidi" w:eastAsiaTheme="majorEastAsia"/>
      <w:i/>
      <w:iCs/>
      <w:color w:themeColor="accent1" w:themeShade="BF" w:val="0F4761"/>
    </w:rPr>
  </w:style>
  <w:style w:styleId="Heading5" w:type="paragraph">
    <w:name w:val="heading 5"/>
    <w:basedOn w:val="Normal"/>
    <w:next w:val="BodyText"/>
    <w:link w:val="Heading5Char"/>
    <w:uiPriority w:val="9"/>
    <w:semiHidden/>
    <w:unhideWhenUsed/>
    <w:qFormat/>
    <w:rsid w:val="00A10FD9"/>
    <w:pPr>
      <w:keepNext/>
      <w:keepLines/>
      <w:spacing w:after="40" w:before="80"/>
      <w:outlineLvl w:val="4"/>
    </w:pPr>
    <w:rPr>
      <w:rFonts w:cstheme="majorBidi" w:eastAsiaTheme="majorEastAsia"/>
      <w:color w:themeColor="accent1" w:themeShade="BF" w:val="0F4761"/>
    </w:rPr>
  </w:style>
  <w:style w:styleId="Heading6" w:type="paragraph">
    <w:name w:val="heading 6"/>
    <w:basedOn w:val="Normal"/>
    <w:next w:val="BodyText"/>
    <w:link w:val="Heading6Char"/>
    <w:uiPriority w:val="9"/>
    <w:semiHidden/>
    <w:unhideWhenUsed/>
    <w:qFormat/>
    <w:rsid w:val="00A10FD9"/>
    <w:pPr>
      <w:keepNext/>
      <w:keepLines/>
      <w:spacing w:after="0" w:before="40"/>
      <w:outlineLvl w:val="5"/>
    </w:pPr>
    <w:rPr>
      <w:rFonts w:cstheme="majorBidi" w:eastAsiaTheme="majorEastAsia"/>
      <w:i/>
      <w:iCs/>
      <w:color w:themeColor="text1" w:themeTint="A6" w:val="595959"/>
    </w:rPr>
  </w:style>
  <w:style w:styleId="Heading7" w:type="paragraph">
    <w:name w:val="heading 7"/>
    <w:basedOn w:val="Normal"/>
    <w:next w:val="BodyText"/>
    <w:link w:val="Heading7Char"/>
    <w:uiPriority w:val="9"/>
    <w:semiHidden/>
    <w:unhideWhenUsed/>
    <w:qFormat/>
    <w:rsid w:val="00A10FD9"/>
    <w:pPr>
      <w:keepNext/>
      <w:keepLines/>
      <w:spacing w:after="0" w:before="40"/>
      <w:outlineLvl w:val="6"/>
    </w:pPr>
    <w:rPr>
      <w:rFonts w:cstheme="majorBidi" w:eastAsiaTheme="majorEastAsia"/>
      <w:color w:themeColor="text1" w:themeTint="A6" w:val="595959"/>
    </w:rPr>
  </w:style>
  <w:style w:styleId="Heading8" w:type="paragraph">
    <w:name w:val="heading 8"/>
    <w:basedOn w:val="Normal"/>
    <w:next w:val="BodyText"/>
    <w:link w:val="Heading8Char"/>
    <w:uiPriority w:val="9"/>
    <w:semiHidden/>
    <w:unhideWhenUsed/>
    <w:qFormat/>
    <w:rsid w:val="00A10FD9"/>
    <w:pPr>
      <w:keepNext/>
      <w:keepLines/>
      <w:spacing w:after="0"/>
      <w:outlineLvl w:val="7"/>
    </w:pPr>
    <w:rPr>
      <w:rFonts w:cstheme="majorBidi" w:eastAsiaTheme="majorEastAsia"/>
      <w:i/>
      <w:iCs/>
      <w:color w:themeColor="text1" w:themeTint="D8" w:val="272727"/>
    </w:rPr>
  </w:style>
  <w:style w:styleId="Heading9" w:type="paragraph">
    <w:name w:val="heading 9"/>
    <w:basedOn w:val="Normal"/>
    <w:next w:val="BodyText"/>
    <w:link w:val="Heading9Char"/>
    <w:uiPriority w:val="9"/>
    <w:semiHidden/>
    <w:unhideWhenUsed/>
    <w:qFormat/>
    <w:rsid w:val="00A10FD9"/>
    <w:pPr>
      <w:keepNext/>
      <w:keepLines/>
      <w:spacing w:after="0"/>
      <w:outlineLvl w:val="8"/>
    </w:pPr>
    <w:rPr>
      <w:rFonts w:cstheme="majorBidi" w:eastAsiaTheme="majorEastAsia"/>
      <w:color w:themeColor="text1" w:themeTint="D8" w:val="272727"/>
    </w:rPr>
  </w:style>
  <w:style w:customStyle="1" w:styleId="Heading1Char" w:type="character">
    <w:name w:val="Heading 1 Char"/>
    <w:basedOn w:val="DefaultParagraphFont"/>
    <w:link w:val="Heading1"/>
    <w:uiPriority w:val="9"/>
    <w:rsid w:val="00A10FD9"/>
    <w:rPr>
      <w:rFonts w:asciiTheme="majorHAnsi" w:cstheme="majorBidi" w:eastAsiaTheme="majorEastAsia" w:hAnsiTheme="majorHAnsi"/>
      <w:color w:themeColor="accent1" w:themeShade="BF" w:val="0F4761"/>
      <w:sz w:val="40"/>
      <w:szCs w:val="40"/>
    </w:rPr>
  </w:style>
  <w:style w:customStyle="1" w:styleId="Heading2Char" w:type="character">
    <w:name w:val="Heading 2 Char"/>
    <w:basedOn w:val="DefaultParagraphFont"/>
    <w:link w:val="Heading2"/>
    <w:uiPriority w:val="9"/>
    <w:semiHidden/>
    <w:rsid w:val="00A10FD9"/>
    <w:rPr>
      <w:rFonts w:asciiTheme="majorHAnsi" w:cstheme="majorBidi" w:eastAsiaTheme="majorEastAsia" w:hAnsiTheme="majorHAnsi"/>
      <w:color w:themeColor="accent1" w:themeShade="BF" w:val="0F4761"/>
      <w:sz w:val="32"/>
      <w:szCs w:val="32"/>
    </w:rPr>
  </w:style>
  <w:style w:customStyle="1" w:styleId="Heading3Char" w:type="character">
    <w:name w:val="Heading 3 Char"/>
    <w:basedOn w:val="DefaultParagraphFont"/>
    <w:link w:val="Heading3"/>
    <w:uiPriority w:val="9"/>
    <w:semiHidden/>
    <w:rsid w:val="00A10FD9"/>
    <w:rPr>
      <w:rFonts w:cstheme="majorBidi" w:eastAsiaTheme="majorEastAsia"/>
      <w:color w:themeColor="accent1" w:themeShade="BF" w:val="0F4761"/>
      <w:sz w:val="28"/>
      <w:szCs w:val="28"/>
    </w:rPr>
  </w:style>
  <w:style w:customStyle="1" w:styleId="Heading4Char" w:type="character">
    <w:name w:val="Heading 4 Char"/>
    <w:basedOn w:val="DefaultParagraphFont"/>
    <w:link w:val="Heading4"/>
    <w:uiPriority w:val="9"/>
    <w:semiHidden/>
    <w:rsid w:val="00A10FD9"/>
    <w:rPr>
      <w:rFonts w:cstheme="majorBidi" w:eastAsiaTheme="majorEastAsia"/>
      <w:i/>
      <w:iCs/>
      <w:color w:themeColor="accent1" w:themeShade="BF" w:val="0F4761"/>
    </w:rPr>
  </w:style>
  <w:style w:customStyle="1" w:styleId="Heading5Char" w:type="character">
    <w:name w:val="Heading 5 Char"/>
    <w:basedOn w:val="DefaultParagraphFont"/>
    <w:link w:val="Heading5"/>
    <w:uiPriority w:val="9"/>
    <w:semiHidden/>
    <w:rsid w:val="00A10FD9"/>
    <w:rPr>
      <w:rFonts w:cstheme="majorBidi" w:eastAsiaTheme="majorEastAsia"/>
      <w:color w:themeColor="accent1" w:themeShade="BF" w:val="0F4761"/>
    </w:rPr>
  </w:style>
  <w:style w:customStyle="1" w:styleId="Heading6Char" w:type="character">
    <w:name w:val="Heading 6 Char"/>
    <w:basedOn w:val="DefaultParagraphFont"/>
    <w:link w:val="Heading6"/>
    <w:uiPriority w:val="9"/>
    <w:semiHidden/>
    <w:rsid w:val="00A10FD9"/>
    <w:rPr>
      <w:rFonts w:cstheme="majorBidi" w:eastAsiaTheme="majorEastAsia"/>
      <w:i/>
      <w:iCs/>
      <w:color w:themeColor="text1" w:themeTint="A6" w:val="595959"/>
    </w:rPr>
  </w:style>
  <w:style w:customStyle="1" w:styleId="Heading7Char" w:type="character">
    <w:name w:val="Heading 7 Char"/>
    <w:basedOn w:val="DefaultParagraphFont"/>
    <w:link w:val="Heading7"/>
    <w:uiPriority w:val="9"/>
    <w:semiHidden/>
    <w:rsid w:val="00A10FD9"/>
    <w:rPr>
      <w:rFonts w:cstheme="majorBidi" w:eastAsiaTheme="majorEastAsia"/>
      <w:color w:themeColor="text1" w:themeTint="A6" w:val="595959"/>
    </w:rPr>
  </w:style>
  <w:style w:customStyle="1" w:styleId="Heading8Char" w:type="character">
    <w:name w:val="Heading 8 Char"/>
    <w:basedOn w:val="DefaultParagraphFont"/>
    <w:link w:val="Heading8"/>
    <w:uiPriority w:val="9"/>
    <w:semiHidden/>
    <w:rsid w:val="00A10FD9"/>
    <w:rPr>
      <w:rFonts w:cstheme="majorBidi" w:eastAsiaTheme="majorEastAsia"/>
      <w:i/>
      <w:iCs/>
      <w:color w:themeColor="text1" w:themeTint="D8" w:val="272727"/>
    </w:rPr>
  </w:style>
  <w:style w:customStyle="1" w:styleId="Heading9Char" w:type="character">
    <w:name w:val="Heading 9 Char"/>
    <w:basedOn w:val="DefaultParagraphFont"/>
    <w:link w:val="Heading9"/>
    <w:uiPriority w:val="9"/>
    <w:semiHidden/>
    <w:rsid w:val="00A10FD9"/>
    <w:rPr>
      <w:rFonts w:cstheme="majorBidi" w:eastAsiaTheme="majorEastAsia"/>
      <w:color w:themeColor="text1" w:themeTint="D8" w:val="272727"/>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styleId="FootnoteBlockText" w:type="paragraph">
    <w:name w:val="Footnote Block Text"/>
    <w:basedOn w:val="FootnoteText"/>
    <w:next w:val="FootnoteText"/>
    <w:uiPriority w:val="9"/>
    <w:unhideWhenUsed/>
    <w:qFormat/>
    <w:pPr>
      <w:spacing w:after="100" w:before="100"/>
      <w:ind w:firstLine="0" w:left="480" w:right="480"/>
    </w:pPr>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cPr>
        <w:tcBorders>
          <w:bottom w:val="single"/>
        </w:tcBorders>
        <w:vAlign w:val="bottom"/>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b/>
      <w:color w:val="007020"/>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b/>
      <w:color w:val="008000"/>
    </w:rPr>
  </w:style>
  <w:style w:type="character" w:customStyle="1" w:styleId="CommentTok">
    <w:name w:val="CommentTok"/>
    <w:basedOn w:val="VerbatimChar"/>
    <w:rPr>
      <w:i/>
      <w:color w:val="60a0b0"/>
    </w:rPr>
  </w:style>
  <w:style w:type="character" w:customStyle="1" w:styleId="DocumentationTok">
    <w:name w:val="DocumentationTok"/>
    <w:basedOn w:val="VerbatimChar"/>
    <w:rPr>
      <w:i/>
      <w:color w:val="ba2121"/>
    </w:rPr>
  </w:style>
  <w:style w:type="character" w:customStyle="1" w:styleId="AnnotationTok">
    <w:name w:val="AnnotationTok"/>
    <w:basedOn w:val="VerbatimChar"/>
    <w:rPr>
      <w:b/>
      <w:i/>
      <w:color w:val="60a0b0"/>
    </w:rPr>
  </w:style>
  <w:style w:type="character" w:customStyle="1" w:styleId="CommentVarTok">
    <w:name w:val="CommentVarTok"/>
    <w:basedOn w:val="VerbatimChar"/>
    <w:rPr>
      <w:b/>
      <w:i/>
      <w:color w:val="60a0b0"/>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b/>
      <w:color w:val="007020"/>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b/>
      <w:i/>
      <w:color w:val="60a0b0"/>
    </w:rPr>
  </w:style>
  <w:style w:type="character" w:customStyle="1" w:styleId="WarningTok">
    <w:name w:val="WarningTok"/>
    <w:basedOn w:val="VerbatimChar"/>
    <w:rPr>
      <w:b/>
      <w:i/>
      <w:color w:val="60a0b0"/>
    </w:rPr>
  </w:style>
  <w:style w:type="character" w:customStyle="1" w:styleId="AlertTok">
    <w:name w:val="AlertTok"/>
    <w:basedOn w:val="VerbatimChar"/>
    <w:rPr>
      <w:b/>
      <w:color w:val="ff0000"/>
    </w:rPr>
  </w:style>
  <w:style w:type="character" w:customStyle="1" w:styleId="ErrorTok">
    <w:name w:val="ErrorTok"/>
    <w:basedOn w:val="VerbatimChar"/>
    <w:rPr>
      <w:b/>
      <w:color w:val="ff0000"/>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8" Target="numbering.xml" /><Relationship Type="http://schemas.openxmlformats.org/officeDocument/2006/relationships/styles" Id="rId7" Target="styles.xml" /><Relationship Type="http://schemas.openxmlformats.org/officeDocument/2006/relationships/settings" Id="rId6" Target="settings.xml" /><Relationship Type="http://schemas.openxmlformats.org/officeDocument/2006/relationships/webSettings" Id="rId5" Target="webSettings.xml" /><Relationship Type="http://schemas.openxmlformats.org/officeDocument/2006/relationships/fontTable" Id="rId4" Target="fontTable.xml" /><Relationship Type="http://schemas.openxmlformats.org/officeDocument/2006/relationships/theme" Id="rId3" Target="theme/theme1.xml" /><Relationship Type="http://schemas.openxmlformats.org/officeDocument/2006/relationships/footnotes" Id="rId2" Target="footnotes.xml" /><Relationship Type="http://schemas.openxmlformats.org/officeDocument/2006/relationships/comments" Id="rId1" Target="comments.xml" /><Relationship Type="http://schemas.openxmlformats.org/officeDocument/2006/relationships/hyperlink" Id="rId9" Target="https://newsroom.thehartford.com/newsroom/?utm_source=openai" TargetMode="External" /><Relationship Type="http://schemas.openxmlformats.org/officeDocument/2006/relationships/hyperlink" Id="rId13" Target="https://s203.q4cdn.com/260861639/files/doc_presentations/2026/Jun/03/The-Hartford-Announcement-Deck-Final.pdf" TargetMode="External" /><Relationship Type="http://schemas.openxmlformats.org/officeDocument/2006/relationships/hyperlink" Id="rId11" Target="https://www.barchart.com/stocks/quotes/HIG/earnings-estimates" TargetMode="External" /><Relationship Type="http://schemas.openxmlformats.org/officeDocument/2006/relationships/hyperlink" Id="rId17" Target="https://www.reinsurancene.ws/primary-insurers-to-bear-the-brunt-of-q226-loss-events-goldman-sachs/?utm_source=openai" TargetMode="External" /><Relationship Type="http://schemas.openxmlformats.org/officeDocument/2006/relationships/hyperlink" Id="rId15" Target="https://www.zacks.com/stock/news/2956194/what-analyst-projections-for-key-metrics-reveal-about-the-hartford-insurance-group-hig-q2-earnings?utm_source=openai" TargetMode="External" /></Relationships>
</file>

<file path=word/_rels/footnotes.xml.rels><?xml version="1.0" encoding="UTF-8"?><Relationships xmlns="http://schemas.openxmlformats.org/package/2006/relationships"><Relationship Type="http://schemas.openxmlformats.org/officeDocument/2006/relationships/hyperlink" Id="rId9" Target="https://newsroom.thehartford.com/newsroom/?utm_source=openai" TargetMode="External" /><Relationship Type="http://schemas.openxmlformats.org/officeDocument/2006/relationships/hyperlink" Id="rId13" Target="https://s203.q4cdn.com/260861639/files/doc_presentations/2026/Jun/03/The-Hartford-Announcement-Deck-Final.pdf" TargetMode="External" /><Relationship Type="http://schemas.openxmlformats.org/officeDocument/2006/relationships/hyperlink" Id="rId11" Target="https://www.barchart.com/stocks/quotes/HIG/earnings-estimates" TargetMode="External" /><Relationship Type="http://schemas.openxmlformats.org/officeDocument/2006/relationships/hyperlink" Id="rId17" Target="https://www.reinsurancene.ws/primary-insurers-to-bear-the-brunt-of-q226-loss-events-goldman-sachs/?utm_source=openai" TargetMode="External" /><Relationship Type="http://schemas.openxmlformats.org/officeDocument/2006/relationships/hyperlink" Id="rId15" Target="https://www.zacks.com/stock/news/2956194/what-analyst-projections-for-key-metrics-reveal-about-the-hartford-insurance-group-hig-q2-earnings?utm_source=openai"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2026-07-23T01:17:45Z</dcterms:created>
  <dcterms:modified xsi:type="dcterms:W3CDTF">2026-07-23T01:17:45Z</dcterms:modified>
</cp:coreProperties>
</file>

<file path=docProps/custom.xml><?xml version="1.0" encoding="utf-8"?>
<Properties xmlns="http://schemas.openxmlformats.org/officeDocument/2006/custom-properties" xmlns:vt="http://schemas.openxmlformats.org/officeDocument/2006/docPropsVTypes"/>
</file>