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ig-earnings-predictions--2026-07-23"/>
    <w:p>
      <w:pPr>
        <w:pStyle w:val="Heading1"/>
      </w:pPr>
      <w:r>
        <w:t xml:space="preserve">HIG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~$2.88 vs. cons $2.76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Business Insurance underlying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~89.0% vs. cons 89.9%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P&amp;C catastrophe losses, pre-tax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~$185M vs. cons $225M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investment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~$2.93B vs. cons $2.86B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Business Insurance underlying combined ratio / margin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~89.5% vs. cons 89.6%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2Q26 share repurchases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~$450M vs. cons $450M (2Q26)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+1.1% (FADE)</w:t>
            </w:r>
          </w:p>
        </w:tc>
        <w:tc>
          <w:tcPr/>
          <w:p>
            <w:pPr>
              <w:pStyle w:val="Compact"/>
            </w:pPr>
            <w:r>
              <w:t xml:space="preserve">The initial upside should be driven by a clean core-EPS beat, sub-consensus catastrophe losses and a better Business Insurance underlying ratio. The move likely fades as investors focus on the roughly unchanged FY26 underwriting-margin framework, moderating commercial pricing and the limited scope for out-period EPS revisions after a quarter aided by weather and investment-income variability.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2026-07-23T01:15:14Z</dcterms:created>
  <dcterms:modified xsi:type="dcterms:W3CDTF">2026-07-23T01:15:14Z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