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hig-2q26-earnings-preview"/>
    <w:p>
      <w:pPr>
        <w:pStyle w:val="Heading1"/>
      </w:pPr>
      <w:r>
        <w:t xml:space="preserve">HIG 2Q26 Earnings Preview</w:t>
      </w:r>
    </w:p>
    <w:p>
      <w:pPr>
        <w:pStyle w:val="BlockText"/>
      </w:pPr>
      <w:r>
        <w:rPr>
          <w:b/>
          <w:bCs/>
        </w:rPr>
        <w:t xml:space="preserve">Date correction:</w:t>
      </w:r>
      <w:r>
        <w:t xml:space="preserve"> </w:t>
      </w:r>
      <w:r>
        <w:t xml:space="preserve">Today is</w:t>
      </w:r>
      <w:r>
        <w:t xml:space="preserve"> </w:t>
      </w:r>
      <w:r>
        <w:rPr>
          <w:b/>
          <w:bCs/>
        </w:rPr>
        <w:t xml:space="preserve">Thursday, July 23, 2026</w:t>
      </w:r>
      <w:r>
        <w:t xml:space="preserve">. The Hartford is scheduled to announce second-quarter 2026 results</w:t>
      </w:r>
      <w:r>
        <w:t xml:space="preserve"> </w:t>
      </w:r>
      <w:r>
        <w:rPr>
          <w:b/>
          <w:bCs/>
        </w:rPr>
        <w:t xml:space="preserve">today</w:t>
      </w:r>
      <w:r>
        <w:t xml:space="preserve">, not tomorrow. The company announced the reporting date on June 25. (</w:t>
      </w:r>
      <w:hyperlink r:id="rId9">
        <w:r>
          <w:rPr>
            <w:rStyle w:val="Hyperlink"/>
          </w:rPr>
          <w:t xml:space="preserve">ir.thehartford.com</w:t>
        </w:r>
      </w:hyperlink>
      <w:r>
        <w:t xml:space="preserve">)</w:t>
      </w:r>
    </w:p>
    <w:bookmarkStart w:id="12" w:name="X638c484d75b5e9328f397cf780e1a594ae237c7"/>
    <w:p>
      <w:pPr>
        <w:pStyle w:val="Heading2"/>
      </w:pPr>
      <w:r>
        <w:t xml:space="preserve">Investment view: the quarter is about underwriting durability—not simply EPS</w:t>
      </w:r>
    </w:p>
    <w:p>
      <w:pPr>
        <w:pStyle w:val="FirstParagraph"/>
      </w:pPr>
      <w:r>
        <w:t xml:space="preserve">The Hartford enters 2Q26 after a very strong 1Q, when it produced</w:t>
      </w:r>
      <w:r>
        <w:t xml:space="preserve"> </w:t>
      </w:r>
      <w:r>
        <w:rPr>
          <w:b/>
          <w:bCs/>
        </w:rPr>
        <w:t xml:space="preserve">$3.09 of core EPS</w:t>
      </w:r>
      <w:r>
        <w:t xml:space="preserve">, a</w:t>
      </w:r>
      <w:r>
        <w:t xml:space="preserve"> </w:t>
      </w:r>
      <w:r>
        <w:rPr>
          <w:b/>
          <w:bCs/>
        </w:rPr>
        <w:t xml:space="preserve">20.3% trailing-12-month core ROE</w:t>
      </w:r>
      <w:r>
        <w:t xml:space="preserve">, and healthy underwriting profitability across Business Insurance and Personal Insurance. (</w:t>
      </w:r>
      <w:hyperlink r:id="rId10">
        <w:r>
          <w:rPr>
            <w:rStyle w:val="Hyperlink"/>
          </w:rPr>
          <w:t xml:space="preserve">ir.thehartford.com</w:t>
        </w:r>
      </w:hyperlink>
      <w:r>
        <w:t xml:space="preserve">)</w:t>
      </w:r>
    </w:p>
    <w:p>
      <w:pPr>
        <w:pStyle w:val="BodyText"/>
      </w:pPr>
      <w:r>
        <w:t xml:space="preserve">However, this report has several moving parts that make a simple year-over-year EPS comparison potentially misleading:</w:t>
      </w:r>
    </w:p>
    <w:p>
      <w:pPr>
        <w:pStyle w:val="Compact"/>
        <w:numPr>
          <w:ilvl w:val="0"/>
          <w:numId w:val="1001"/>
        </w:numPr>
      </w:pPr>
      <w:r>
        <w:rPr>
          <w:b/>
          <w:bCs/>
        </w:rPr>
        <w:t xml:space="preserve">Hartford Funds will be reported as discontinued operations beginning in 2Q26</w:t>
      </w:r>
      <w:r>
        <w:t xml:space="preserve">, excluding it from core earnings.</w:t>
      </w:r>
    </w:p>
    <w:p>
      <w:pPr>
        <w:pStyle w:val="Compact"/>
        <w:numPr>
          <w:ilvl w:val="0"/>
          <w:numId w:val="1001"/>
        </w:numPr>
      </w:pPr>
      <w:r>
        <w:t xml:space="preserve">GAAP earnings should receive a</w:t>
      </w:r>
      <w:r>
        <w:t xml:space="preserve"> </w:t>
      </w:r>
      <w:r>
        <w:rPr>
          <w:b/>
          <w:bCs/>
        </w:rPr>
        <w:t xml:space="preserve">$250 million deferred-tax-asset benefit</w:t>
      </w:r>
      <w:r>
        <w:t xml:space="preserve"> </w:t>
      </w:r>
      <w:r>
        <w:t xml:space="preserve">associated with the pending Hartford Funds transaction.</w:t>
      </w:r>
    </w:p>
    <w:p>
      <w:pPr>
        <w:pStyle w:val="Compact"/>
        <w:numPr>
          <w:ilvl w:val="0"/>
          <w:numId w:val="1001"/>
        </w:numPr>
      </w:pPr>
      <w:r>
        <w:t xml:space="preserve">The 2Q25 comparison was unusually favorable, including</w:t>
      </w:r>
      <w:r>
        <w:t xml:space="preserve"> </w:t>
      </w:r>
      <w:r>
        <w:rPr>
          <w:b/>
          <w:bCs/>
        </w:rPr>
        <w:t xml:space="preserve">$163 million of favorable prior-year reserve development</w:t>
      </w:r>
      <w:r>
        <w:t xml:space="preserve"> </w:t>
      </w:r>
      <w:r>
        <w:t xml:space="preserve">and a</w:t>
      </w:r>
      <w:r>
        <w:t xml:space="preserve"> </w:t>
      </w:r>
      <w:r>
        <w:rPr>
          <w:b/>
          <w:bCs/>
        </w:rPr>
        <w:t xml:space="preserve">9.2% Employee Benefits core margin</w:t>
      </w:r>
      <w:r>
        <w:t xml:space="preserve">. (</w:t>
      </w:r>
      <w:hyperlink r:id="rId11">
        <w:r>
          <w:rPr>
            <w:rStyle w:val="Hyperlink"/>
          </w:rPr>
          <w:t xml:space="preserve">ir.thehartford.com</w:t>
        </w:r>
      </w:hyperlink>
      <w:r>
        <w:t xml:space="preserve">)</w:t>
      </w:r>
    </w:p>
    <w:p>
      <w:pPr>
        <w:pStyle w:val="FirstParagraph"/>
      </w:pPr>
      <w:r>
        <w:t xml:space="preserve">Accordingly, the market is likely to focus on the quality of ongoing P&amp;C and Employee Benefits earnings: underlying combined ratios, premium growth versus price, reserve development, catastrophe losses, investment income, and capital return.</w:t>
      </w:r>
    </w:p>
    <w:bookmarkEnd w:id="12"/>
    <w:bookmarkStart w:id="18" w:name="what-matters-most"/>
    <w:p>
      <w:pPr>
        <w:pStyle w:val="Heading2"/>
      </w:pPr>
      <w:r>
        <w:t xml:space="preserve">What matters most</w:t>
      </w:r>
    </w:p>
    <w:bookmarkStart w:id="13" w:name="Xe24ebcb6642cf3e3ffd26f23f9704d59761e24f"/>
    <w:p>
      <w:pPr>
        <w:pStyle w:val="Heading3"/>
      </w:pPr>
      <w:r>
        <w:t xml:space="preserve">1. Business Insurance: Can HIG protect margins as commercial pricing moderates?</w:t>
      </w:r>
    </w:p>
    <w:p>
      <w:pPr>
        <w:pStyle w:val="FirstParagraph"/>
      </w:pPr>
      <w:r>
        <w:t xml:space="preserve">Business Insurance remains the core earnings engine. In 1Q26, the segment delivered:</w:t>
      </w:r>
    </w:p>
    <w:p>
      <w:pPr>
        <w:pStyle w:val="Compact"/>
        <w:numPr>
          <w:ilvl w:val="0"/>
          <w:numId w:val="1002"/>
        </w:numPr>
      </w:pPr>
      <w:r>
        <w:rPr>
          <w:b/>
          <w:bCs/>
        </w:rPr>
        <w:t xml:space="preserve">6% written-premium growth</w:t>
      </w:r>
    </w:p>
    <w:p>
      <w:pPr>
        <w:pStyle w:val="Compact"/>
        <w:numPr>
          <w:ilvl w:val="0"/>
          <w:numId w:val="1002"/>
        </w:numPr>
      </w:pPr>
      <w:r>
        <w:rPr>
          <w:b/>
          <w:bCs/>
        </w:rPr>
        <w:t xml:space="preserve">89.2 underlying combined ratio</w:t>
      </w:r>
    </w:p>
    <w:p>
      <w:pPr>
        <w:pStyle w:val="Compact"/>
        <w:numPr>
          <w:ilvl w:val="0"/>
          <w:numId w:val="1002"/>
        </w:numPr>
      </w:pPr>
      <w:r>
        <w:rPr>
          <w:b/>
          <w:bCs/>
        </w:rPr>
        <w:t xml:space="preserve">7% earned-premium growth</w:t>
      </w:r>
    </w:p>
    <w:p>
      <w:pPr>
        <w:pStyle w:val="Compact"/>
        <w:numPr>
          <w:ilvl w:val="0"/>
          <w:numId w:val="1002"/>
        </w:numPr>
      </w:pPr>
      <w:r>
        <w:t xml:space="preserve">Strong Small Business performance, with</w:t>
      </w:r>
      <w:r>
        <w:t xml:space="preserve"> </w:t>
      </w:r>
      <w:r>
        <w:rPr>
          <w:b/>
          <w:bCs/>
        </w:rPr>
        <w:t xml:space="preserve">8% written-premium growth</w:t>
      </w:r>
      <w:r>
        <w:t xml:space="preserve"> </w:t>
      </w:r>
      <w:r>
        <w:t xml:space="preserve">and a</w:t>
      </w:r>
      <w:r>
        <w:t xml:space="preserve"> </w:t>
      </w:r>
      <w:r>
        <w:rPr>
          <w:b/>
          <w:bCs/>
        </w:rPr>
        <w:t xml:space="preserve">89.4 underlying combined ratio</w:t>
      </w:r>
      <w:r>
        <w:t xml:space="preserve">. (</w:t>
      </w:r>
      <w:hyperlink r:id="rId10">
        <w:r>
          <w:rPr>
            <w:rStyle w:val="Hyperlink"/>
          </w:rPr>
          <w:t xml:space="preserve">ir.thehartford.com</w:t>
        </w:r>
      </w:hyperlink>
      <w:r>
        <w:t xml:space="preserve">)</w:t>
      </w:r>
    </w:p>
    <w:p>
      <w:pPr>
        <w:pStyle w:val="FirstParagraph"/>
      </w:pPr>
      <w:r>
        <w:t xml:space="preserve">The central 2Q question is whether HIG can continue to balance growth and margin as competition increases in commercial lines. On the 1Q call, management cited</w:t>
      </w:r>
      <w:r>
        <w:t xml:space="preserve"> </w:t>
      </w:r>
      <w:r>
        <w:rPr>
          <w:b/>
          <w:bCs/>
        </w:rPr>
        <w:t xml:space="preserve">6% renewal pricing excluding workers’ compensation</w:t>
      </w:r>
      <w:r>
        <w:t xml:space="preserve">, with particular strength in commercial auto and liability. It also acknowledged more competitive conditions in parts of middle market and specialty.</w:t>
      </w:r>
    </w:p>
    <w:p>
      <w:pPr>
        <w:pStyle w:val="BodyText"/>
      </w:pPr>
      <w:r>
        <w:rPr>
          <w:b/>
          <w:bCs/>
        </w:rPr>
        <w:t xml:space="preserve">What would be constructive</w:t>
      </w:r>
    </w:p>
    <w:p>
      <w:pPr>
        <w:pStyle w:val="Compact"/>
        <w:numPr>
          <w:ilvl w:val="0"/>
          <w:numId w:val="1003"/>
        </w:numPr>
      </w:pPr>
      <w:r>
        <w:t xml:space="preserve">Business Insurance written-premium growth holding in the mid-single digits or better.</w:t>
      </w:r>
    </w:p>
    <w:p>
      <w:pPr>
        <w:pStyle w:val="Compact"/>
        <w:numPr>
          <w:ilvl w:val="0"/>
          <w:numId w:val="1003"/>
        </w:numPr>
      </w:pPr>
      <w:r>
        <w:t xml:space="preserve">Underlying combined ratio remaining around the high-80s/low-90s.</w:t>
      </w:r>
    </w:p>
    <w:p>
      <w:pPr>
        <w:pStyle w:val="Compact"/>
        <w:numPr>
          <w:ilvl w:val="0"/>
          <w:numId w:val="1003"/>
        </w:numPr>
      </w:pPr>
      <w:r>
        <w:t xml:space="preserve">Continued strong Small Business submissions and new-business growth.</w:t>
      </w:r>
    </w:p>
    <w:p>
      <w:pPr>
        <w:pStyle w:val="Compact"/>
        <w:numPr>
          <w:ilvl w:val="0"/>
          <w:numId w:val="1003"/>
        </w:numPr>
      </w:pPr>
      <w:r>
        <w:t xml:space="preserve">Evidence that commercial liability price remains above loss-cost trends.</w:t>
      </w:r>
    </w:p>
    <w:p>
      <w:pPr>
        <w:pStyle w:val="Compact"/>
        <w:numPr>
          <w:ilvl w:val="0"/>
          <w:numId w:val="1003"/>
        </w:numPr>
      </w:pPr>
      <w:r>
        <w:t xml:space="preserve">No broad-based deterioration in workers’ compensation, general liability, or commercial property loss picks.</w:t>
      </w:r>
    </w:p>
    <w:p>
      <w:pPr>
        <w:pStyle w:val="FirstParagraph"/>
      </w:pPr>
      <w:r>
        <w:rPr>
          <w:b/>
          <w:bCs/>
        </w:rPr>
        <w:t xml:space="preserve">What would concern investors</w:t>
      </w:r>
    </w:p>
    <w:p>
      <w:pPr>
        <w:pStyle w:val="Compact"/>
        <w:numPr>
          <w:ilvl w:val="0"/>
          <w:numId w:val="1004"/>
        </w:numPr>
      </w:pPr>
      <w:r>
        <w:t xml:space="preserve">A sharper-than-expected decline in renewal pricing or retention.</w:t>
      </w:r>
    </w:p>
    <w:p>
      <w:pPr>
        <w:pStyle w:val="Compact"/>
        <w:numPr>
          <w:ilvl w:val="0"/>
          <w:numId w:val="1004"/>
        </w:numPr>
      </w:pPr>
      <w:r>
        <w:t xml:space="preserve">Margin trade-offs to preserve top-line growth.</w:t>
      </w:r>
    </w:p>
    <w:p>
      <w:pPr>
        <w:pStyle w:val="Compact"/>
        <w:numPr>
          <w:ilvl w:val="0"/>
          <w:numId w:val="1004"/>
        </w:numPr>
      </w:pPr>
      <w:r>
        <w:t xml:space="preserve">Further adverse development in long-tailed casualty reserves.</w:t>
      </w:r>
    </w:p>
    <w:p>
      <w:pPr>
        <w:pStyle w:val="Compact"/>
        <w:numPr>
          <w:ilvl w:val="0"/>
          <w:numId w:val="1004"/>
        </w:numPr>
      </w:pPr>
      <w:r>
        <w:t xml:space="preserve">Expense-ratio pressure that challenges the company’s stated improvement trajectory.</w:t>
      </w:r>
    </w:p>
    <w:p>
      <w:pPr>
        <w:pStyle w:val="FirstParagraph"/>
      </w:pPr>
      <w:r>
        <w:t xml:space="preserve">The year-ago hurdle is meaningful: Business Insurance generated an</w:t>
      </w:r>
      <w:r>
        <w:t xml:space="preserve"> </w:t>
      </w:r>
      <w:r>
        <w:rPr>
          <w:b/>
          <w:bCs/>
        </w:rPr>
        <w:t xml:space="preserve">88.0 underlying combined ratio</w:t>
      </w:r>
      <w:r>
        <w:t xml:space="preserve"> </w:t>
      </w:r>
      <w:r>
        <w:t xml:space="preserve">in 2Q25, helped by strong premium growth and reserve development. (</w:t>
      </w:r>
      <w:hyperlink r:id="rId11">
        <w:r>
          <w:rPr>
            <w:rStyle w:val="Hyperlink"/>
          </w:rPr>
          <w:t xml:space="preserve">ir.thehartford.com</w:t>
        </w:r>
      </w:hyperlink>
      <w:r>
        <w:t xml:space="preserve">)</w:t>
      </w:r>
    </w:p>
    <w:bookmarkEnd w:id="13"/>
    <w:bookmarkStart w:id="14" w:name="X136d10419aa907ff9492e503678e355cef38a98"/>
    <w:p>
      <w:pPr>
        <w:pStyle w:val="Heading3"/>
      </w:pPr>
      <w:r>
        <w:t xml:space="preserve">2. Personal Insurance: Profitability improvement versus slowing top-line growth</w:t>
      </w:r>
    </w:p>
    <w:p>
      <w:pPr>
        <w:pStyle w:val="FirstParagraph"/>
      </w:pPr>
      <w:r>
        <w:t xml:space="preserve">Personal Insurance has been HIG’s turnaround story. In 1Q26, the segment posted an</w:t>
      </w:r>
      <w:r>
        <w:t xml:space="preserve"> </w:t>
      </w:r>
      <w:r>
        <w:rPr>
          <w:b/>
          <w:bCs/>
        </w:rPr>
        <w:t xml:space="preserve">85.0 underlying combined ratio</w:t>
      </w:r>
      <w:r>
        <w:t xml:space="preserve">, improving 4.7 points year over year, as earned pricing outpaced loss-cost trends in both auto and homeowners. (</w:t>
      </w:r>
      <w:hyperlink r:id="rId10">
        <w:r>
          <w:rPr>
            <w:rStyle w:val="Hyperlink"/>
          </w:rPr>
          <w:t xml:space="preserve">ir.thehartford.com</w:t>
        </w:r>
      </w:hyperlink>
      <w:r>
        <w:t xml:space="preserve">)</w:t>
      </w:r>
    </w:p>
    <w:p>
      <w:pPr>
        <w:pStyle w:val="BodyText"/>
      </w:pPr>
      <w:r>
        <w:t xml:space="preserve">The trade-off: written premiums fell</w:t>
      </w:r>
      <w:r>
        <w:t xml:space="preserve"> </w:t>
      </w:r>
      <w:r>
        <w:rPr>
          <w:b/>
          <w:bCs/>
        </w:rPr>
        <w:t xml:space="preserve">6%</w:t>
      </w:r>
      <w:r>
        <w:t xml:space="preserve">, including a</w:t>
      </w:r>
      <w:r>
        <w:t xml:space="preserve"> </w:t>
      </w:r>
      <w:r>
        <w:rPr>
          <w:b/>
          <w:bCs/>
        </w:rPr>
        <w:t xml:space="preserve">10% decline in auto</w:t>
      </w:r>
      <w:r>
        <w:t xml:space="preserve">, as HIG chose not to chase business in an increasingly competitive market. Auto renewal written pricing was still positive at</w:t>
      </w:r>
      <w:r>
        <w:t xml:space="preserve"> </w:t>
      </w:r>
      <w:r>
        <w:rPr>
          <w:b/>
          <w:bCs/>
        </w:rPr>
        <w:t xml:space="preserve">6.8%</w:t>
      </w:r>
      <w:r>
        <w:t xml:space="preserve">, but down substantially from the prior-year pace; homeowners pricing remained stronger at</w:t>
      </w:r>
      <w:r>
        <w:t xml:space="preserve"> </w:t>
      </w:r>
      <w:r>
        <w:rPr>
          <w:b/>
          <w:bCs/>
        </w:rPr>
        <w:t xml:space="preserve">11.8%</w:t>
      </w:r>
      <w:r>
        <w:t xml:space="preserve">.</w:t>
      </w:r>
    </w:p>
    <w:p>
      <w:pPr>
        <w:pStyle w:val="BodyText"/>
      </w:pPr>
      <w:r>
        <w:t xml:space="preserve">For 2Q, investors should assess whether HIG can maintain the underwriting recovery while retention and new-business dynamics become more challenging.</w:t>
      </w:r>
    </w:p>
    <w:p>
      <w:pPr>
        <w:pStyle w:val="BodyText"/>
      </w:pPr>
      <w:r>
        <w:rPr>
          <w:b/>
          <w:bCs/>
        </w:rPr>
        <w:t xml:space="preserve">Key indicators</w:t>
      </w:r>
    </w:p>
    <w:p>
      <w:pPr>
        <w:pStyle w:val="Compact"/>
        <w:numPr>
          <w:ilvl w:val="0"/>
          <w:numId w:val="1005"/>
        </w:numPr>
      </w:pPr>
      <w:r>
        <w:t xml:space="preserve">Personal auto underlying combined ratio, particularly loss-cost severity and physical-damage trends.</w:t>
      </w:r>
    </w:p>
    <w:p>
      <w:pPr>
        <w:pStyle w:val="Compact"/>
        <w:numPr>
          <w:ilvl w:val="0"/>
          <w:numId w:val="1005"/>
        </w:numPr>
      </w:pPr>
      <w:r>
        <w:t xml:space="preserve">Homeowners profitability and catastrophe losses.</w:t>
      </w:r>
    </w:p>
    <w:p>
      <w:pPr>
        <w:pStyle w:val="Compact"/>
        <w:numPr>
          <w:ilvl w:val="0"/>
          <w:numId w:val="1005"/>
        </w:numPr>
      </w:pPr>
      <w:r>
        <w:t xml:space="preserve">Auto and homeowners renewal price changes, retention, and policy-count trends.</w:t>
      </w:r>
    </w:p>
    <w:p>
      <w:pPr>
        <w:pStyle w:val="Compact"/>
        <w:numPr>
          <w:ilvl w:val="0"/>
          <w:numId w:val="1005"/>
        </w:numPr>
      </w:pPr>
      <w:r>
        <w:t xml:space="preserve">Progress rolling out the new agency product and the degree to which agency growth offsets direct-channel pressure.</w:t>
      </w:r>
    </w:p>
    <w:p>
      <w:pPr>
        <w:pStyle w:val="FirstParagraph"/>
      </w:pPr>
      <w:r>
        <w:t xml:space="preserve">The 2Q25 comparison underscores why underlying metrics matter: Personal Insurance’s</w:t>
      </w:r>
      <w:r>
        <w:t xml:space="preserve"> </w:t>
      </w:r>
      <w:r>
        <w:rPr>
          <w:b/>
          <w:bCs/>
        </w:rPr>
        <w:t xml:space="preserve">88.0 underlying combined ratio</w:t>
      </w:r>
      <w:r>
        <w:t xml:space="preserve"> </w:t>
      </w:r>
      <w:r>
        <w:t xml:space="preserve">was already much improved, while the reported combined ratio was</w:t>
      </w:r>
      <w:r>
        <w:t xml:space="preserve"> </w:t>
      </w:r>
      <w:r>
        <w:rPr>
          <w:b/>
          <w:bCs/>
        </w:rPr>
        <w:t xml:space="preserve">94.1</w:t>
      </w:r>
      <w:r>
        <w:t xml:space="preserve"> </w:t>
      </w:r>
      <w:r>
        <w:t xml:space="preserve">after catastrophe and reserve effects. (</w:t>
      </w:r>
      <w:hyperlink r:id="rId11">
        <w:r>
          <w:rPr>
            <w:rStyle w:val="Hyperlink"/>
          </w:rPr>
          <w:t xml:space="preserve">ir.thehartford.com</w:t>
        </w:r>
      </w:hyperlink>
      <w:r>
        <w:t xml:space="preserve">)</w:t>
      </w:r>
    </w:p>
    <w:bookmarkEnd w:id="14"/>
    <w:bookmarkStart w:id="15" w:name="Xfeebab959fa1473af780ad8e89f9c5a58359c52"/>
    <w:p>
      <w:pPr>
        <w:pStyle w:val="Heading3"/>
      </w:pPr>
      <w:r>
        <w:t xml:space="preserve">3. Catastrophes and reserves: the largest near-term swing factors</w:t>
      </w:r>
    </w:p>
    <w:p>
      <w:pPr>
        <w:pStyle w:val="FirstParagraph"/>
      </w:pPr>
      <w:r>
        <w:t xml:space="preserve">Catastrophe losses and prior-year reserve development can dominate quarterly variance for HIG.</w:t>
      </w:r>
    </w:p>
    <w:p>
      <w:pPr>
        <w:pStyle w:val="BodyText"/>
      </w:pPr>
      <w:r>
        <w:t xml:space="preserve">In 1Q26, P&amp;C catastrophe losses were</w:t>
      </w:r>
      <w:r>
        <w:t xml:space="preserve"> </w:t>
      </w:r>
      <m:oMath>
        <m:r>
          <m:t>230</m:t>
        </m:r>
        <m:r>
          <m:t>m</m:t>
        </m:r>
        <m:r>
          <m:t>i</m:t>
        </m:r>
        <m:r>
          <m:t>l</m:t>
        </m:r>
        <m:r>
          <m:t>l</m:t>
        </m:r>
        <m:r>
          <m:t>i</m:t>
        </m:r>
        <m:r>
          <m:t>o</m:t>
        </m:r>
        <m:r>
          <m:t>n</m:t>
        </m:r>
        <m:r>
          <m:t>p</m:t>
        </m:r>
        <m:r>
          <m:t>r</m:t>
        </m:r>
        <m:r>
          <m:t>e</m:t>
        </m:r>
        <m:r>
          <m:rPr>
            <m:sty m:val="p"/>
          </m:rPr>
          <m:t>−</m:t>
        </m:r>
        <m:r>
          <m:t>t</m:t>
        </m:r>
        <m:r>
          <m:t>a</m:t>
        </m:r>
        <m:r>
          <m:t>x</m:t>
        </m:r>
        <m:r>
          <m:rPr>
            <m:sty m:val="p"/>
          </m:rPr>
          <m:t>*</m:t>
        </m:r>
        <m:r>
          <m:rPr>
            <m:sty m:val="p"/>
          </m:rPr>
          <m:t>*</m:t>
        </m:r>
        <m:r>
          <m:rPr>
            <m:sty m:val="p"/>
          </m:rPr>
          <m:t>,</m:t>
        </m:r>
        <m:r>
          <m:t>p</m:t>
        </m:r>
        <m:r>
          <m:t>r</m:t>
        </m:r>
        <m:r>
          <m:t>i</m:t>
        </m:r>
        <m:r>
          <m:t>m</m:t>
        </m:r>
        <m:r>
          <m:t>a</m:t>
        </m:r>
        <m:r>
          <m:t>r</m:t>
        </m:r>
        <m:r>
          <m:t>i</m:t>
        </m:r>
        <m:r>
          <m:t>l</m:t>
        </m:r>
        <m:r>
          <m:t>y</m:t>
        </m:r>
        <m:r>
          <m:t>f</m:t>
        </m:r>
        <m:r>
          <m:t>r</m:t>
        </m:r>
        <m:r>
          <m:t>o</m:t>
        </m:r>
        <m:r>
          <m:t>m</m:t>
        </m:r>
        <m:r>
          <m:t>w</m:t>
        </m:r>
        <m:r>
          <m:t>i</m:t>
        </m:r>
        <m:r>
          <m:t>n</m:t>
        </m:r>
        <m:r>
          <m:t>t</m:t>
        </m:r>
        <m:r>
          <m:t>e</m:t>
        </m:r>
        <m:r>
          <m:t>r</m:t>
        </m:r>
        <m:r>
          <m:t>s</m:t>
        </m:r>
        <m:r>
          <m:t>t</m:t>
        </m:r>
        <m:r>
          <m:t>o</m:t>
        </m:r>
        <m:r>
          <m:t>r</m:t>
        </m:r>
        <m:r>
          <m:t>m</m:t>
        </m:r>
        <m:r>
          <m:t>s</m:t>
        </m:r>
        <m:r>
          <m:t>a</m:t>
        </m:r>
        <m:r>
          <m:t>n</m:t>
        </m:r>
        <m:r>
          <m:t>d</m:t>
        </m:r>
        <m:r>
          <m:t>t</m:t>
        </m:r>
        <m:r>
          <m:t>o</m:t>
        </m:r>
        <m:r>
          <m:t>r</m:t>
        </m:r>
        <m:r>
          <m:t>n</m:t>
        </m:r>
        <m:r>
          <m:t>a</m:t>
        </m:r>
        <m:r>
          <m:t>d</m:t>
        </m:r>
        <m:r>
          <m:t>o</m:t>
        </m:r>
        <m:r>
          <m:rPr>
            <m:sty m:val="p"/>
          </m:rPr>
          <m:t>/</m:t>
        </m:r>
        <m:r>
          <m:t>w</m:t>
        </m:r>
        <m:r>
          <m:t>i</m:t>
        </m:r>
        <m:r>
          <m:t>n</m:t>
        </m:r>
        <m:r>
          <m:t>d</m:t>
        </m:r>
        <m:r>
          <m:rPr>
            <m:sty m:val="p"/>
          </m:rPr>
          <m:t>/</m:t>
        </m:r>
        <m:r>
          <m:t>h</m:t>
        </m:r>
        <m:r>
          <m:t>a</m:t>
        </m:r>
        <m:r>
          <m:t>i</m:t>
        </m:r>
        <m:r>
          <m:t>l</m:t>
        </m:r>
        <m:r>
          <m:t>a</m:t>
        </m:r>
        <m:r>
          <m:t>c</m:t>
        </m:r>
        <m:r>
          <m:t>t</m:t>
        </m:r>
        <m:r>
          <m:t>i</m:t>
        </m:r>
        <m:r>
          <m:t>v</m:t>
        </m:r>
        <m:r>
          <m:t>i</m:t>
        </m:r>
        <m:r>
          <m:t>t</m:t>
        </m:r>
        <m:r>
          <m:t>y</m:t>
        </m:r>
        <m:r>
          <m:rPr>
            <m:sty m:val="p"/>
          </m:rPr>
          <m:t>.</m:t>
        </m:r>
        <m:r>
          <m:t>M</m:t>
        </m:r>
        <m:r>
          <m:t>a</m:t>
        </m:r>
        <m:r>
          <m:t>n</m:t>
        </m:r>
        <m:r>
          <m:t>a</m:t>
        </m:r>
        <m:r>
          <m:t>g</m:t>
        </m:r>
        <m:r>
          <m:t>e</m:t>
        </m:r>
        <m:r>
          <m:t>m</m:t>
        </m:r>
        <m:r>
          <m:t>e</m:t>
        </m:r>
        <m:r>
          <m:t>n</m:t>
        </m:r>
        <m:r>
          <m:t>t</m:t>
        </m:r>
        <m:r>
          <m:t>s</m:t>
        </m:r>
        <m:r>
          <m:t>a</m:t>
        </m:r>
        <m:r>
          <m:t>i</m:t>
        </m:r>
        <m:r>
          <m:t>d</m:t>
        </m:r>
        <m:r>
          <m:t>t</m:t>
        </m:r>
        <m:r>
          <m:t>h</m:t>
        </m:r>
        <m:r>
          <m:t>i</m:t>
        </m:r>
        <m:r>
          <m:t>s</m:t>
        </m:r>
        <m:r>
          <m:t>w</m:t>
        </m:r>
        <m:r>
          <m:t>a</m:t>
        </m:r>
        <m:r>
          <m:t>s</m:t>
        </m:r>
        <m:r>
          <m:t>r</m:t>
        </m:r>
        <m:r>
          <m:t>o</m:t>
        </m:r>
        <m:r>
          <m:t>u</m:t>
        </m:r>
        <m:r>
          <m:t>g</m:t>
        </m:r>
        <m:r>
          <m:t>h</m:t>
        </m:r>
        <m:r>
          <m:t>l</m:t>
        </m:r>
        <m:r>
          <m:t>y</m:t>
        </m:r>
        <m:r>
          <m:rPr>
            <m:sty m:val="p"/>
          </m:rPr>
          <m:t>*</m:t>
        </m:r>
        <m:r>
          <m:rPr>
            <m:sty m:val="p"/>
          </m:rPr>
          <m:t>*</m:t>
        </m:r>
      </m:oMath>
      <w:r>
        <w:rPr>
          <w:b/>
          <w:bCs/>
        </w:rPr>
        <w:t xml:space="preserve">30 million above its original quarterly expectation</w:t>
      </w:r>
      <w:r>
        <w:t xml:space="preserve">. It also disclosed</w:t>
      </w:r>
      <w:r>
        <w:t xml:space="preserve"> </w:t>
      </w:r>
      <m:oMath>
        <m:r>
          <m:t>204</m:t>
        </m:r>
        <m:r>
          <m:t>m</m:t>
        </m:r>
        <m:r>
          <m:t>i</m:t>
        </m:r>
        <m:r>
          <m:t>l</m:t>
        </m:r>
        <m:r>
          <m:t>l</m:t>
        </m:r>
        <m:r>
          <m:t>i</m:t>
        </m:r>
        <m:r>
          <m:t>o</m:t>
        </m:r>
        <m:r>
          <m:t>n</m:t>
        </m:r>
        <m:r>
          <m:t>o</m:t>
        </m:r>
        <m:r>
          <m:t>f</m:t>
        </m:r>
        <m:r>
          <m:t>s</m:t>
        </m:r>
        <m:r>
          <m:t>u</m:t>
        </m:r>
        <m:r>
          <m:t>b</m:t>
        </m:r>
        <m:r>
          <m:t>j</m:t>
        </m:r>
        <m:r>
          <m:t>e</m:t>
        </m:r>
        <m:r>
          <m:t>c</m:t>
        </m:r>
        <m:r>
          <m:t>t</m:t>
        </m:r>
        <m:r>
          <m:t>l</m:t>
        </m:r>
        <m:r>
          <m:t>o</m:t>
        </m:r>
        <m:r>
          <m:t>s</m:t>
        </m:r>
        <m:r>
          <m:t>s</m:t>
        </m:r>
        <m:r>
          <m:t>e</m:t>
        </m:r>
        <m:r>
          <m:t>s</m:t>
        </m:r>
        <m:r>
          <m:rPr>
            <m:sty m:val="p"/>
          </m:rPr>
          <m:t>*</m:t>
        </m:r>
        <m:r>
          <m:rPr>
            <m:sty m:val="p"/>
          </m:rPr>
          <m:t>*</m:t>
        </m:r>
        <m:r>
          <m:t>t</m:t>
        </m:r>
        <m:r>
          <m:t>o</m:t>
        </m:r>
        <m:r>
          <m:t>w</m:t>
        </m:r>
        <m:r>
          <m:t>a</m:t>
        </m:r>
        <m:r>
          <m:t>r</m:t>
        </m:r>
        <m:r>
          <m:t>d</m:t>
        </m:r>
        <m:r>
          <m:t>i</m:t>
        </m:r>
        <m:r>
          <m:t>t</m:t>
        </m:r>
        <m:r>
          <m:t>s</m:t>
        </m:r>
        <m:r>
          <m:rPr>
            <m:sty m:val="p"/>
          </m:rPr>
          <m:t>*</m:t>
        </m:r>
        <m:r>
          <m:rPr>
            <m:sty m:val="p"/>
          </m:rPr>
          <m:t>*</m:t>
        </m:r>
      </m:oMath>
      <w:r>
        <w:rPr>
          <w:b/>
          <w:bCs/>
        </w:rPr>
        <w:t xml:space="preserve">750 million aggregate reinsurance attachment point</w:t>
      </w:r>
      <w:r>
        <w:t xml:space="preserve"> </w:t>
      </w:r>
      <w:r>
        <w:t xml:space="preserve">at the end of 1Q.</w:t>
      </w:r>
    </w:p>
    <w:p>
      <w:pPr>
        <w:pStyle w:val="BodyText"/>
      </w:pPr>
      <w:r>
        <w:t xml:space="preserve">Meanwhile, 1Q reserve development was modestly favorable overall but included a</w:t>
      </w:r>
      <w:r>
        <w:t xml:space="preserve"> </w:t>
      </w:r>
      <m:oMath>
        <m:r>
          <m:t>70</m:t>
        </m:r>
        <m:r>
          <m:t>m</m:t>
        </m:r>
        <m:r>
          <m:t>i</m:t>
        </m:r>
        <m:r>
          <m:t>l</m:t>
        </m:r>
        <m:r>
          <m:t>l</m:t>
        </m:r>
        <m:r>
          <m:t>i</m:t>
        </m:r>
        <m:r>
          <m:t>o</m:t>
        </m:r>
        <m:r>
          <m:t>n</m:t>
        </m:r>
        <m:r>
          <m:t>i</m:t>
        </m:r>
        <m:r>
          <m:t>n</m:t>
        </m:r>
        <m:r>
          <m:t>c</m:t>
        </m:r>
        <m:r>
          <m:t>r</m:t>
        </m:r>
        <m:r>
          <m:t>e</m:t>
        </m:r>
        <m:r>
          <m:t>a</m:t>
        </m:r>
        <m:r>
          <m:t>s</m:t>
        </m:r>
        <m:r>
          <m:t>e</m:t>
        </m:r>
        <m:r>
          <m:t>i</m:t>
        </m:r>
        <m:r>
          <m:t>n</m:t>
        </m:r>
        <m:r>
          <m:t>g</m:t>
        </m:r>
        <m:r>
          <m:t>e</m:t>
        </m:r>
        <m:r>
          <m:t>n</m:t>
        </m:r>
        <m:r>
          <m:t>e</m:t>
        </m:r>
        <m:r>
          <m:t>r</m:t>
        </m:r>
        <m:r>
          <m:t>a</m:t>
        </m:r>
        <m:r>
          <m:t>l</m:t>
        </m:r>
        <m:r>
          <m:rPr>
            <m:sty m:val="p"/>
          </m:rPr>
          <m:t>−</m:t>
        </m:r>
        <m:r>
          <m:t>l</m:t>
        </m:r>
        <m:r>
          <m:t>i</m:t>
        </m:r>
        <m:r>
          <m:t>a</m:t>
        </m:r>
        <m:r>
          <m:t>b</m:t>
        </m:r>
        <m:r>
          <m:t>i</m:t>
        </m:r>
        <m:r>
          <m:t>l</m:t>
        </m:r>
        <m:r>
          <m:t>i</m:t>
        </m:r>
        <m:r>
          <m:t>t</m:t>
        </m:r>
        <m:r>
          <m:t>y</m:t>
        </m:r>
        <m:r>
          <m:t>r</m:t>
        </m:r>
        <m:r>
          <m:t>e</m:t>
        </m:r>
        <m:r>
          <m:t>s</m:t>
        </m:r>
        <m:r>
          <m:t>e</m:t>
        </m:r>
        <m:r>
          <m:t>r</m:t>
        </m:r>
        <m:r>
          <m:t>v</m:t>
        </m:r>
        <m:r>
          <m:t>e</m:t>
        </m:r>
        <m:r>
          <m:t>s</m:t>
        </m:r>
        <m:r>
          <m:rPr>
            <m:sty m:val="p"/>
          </m:rPr>
          <m:t>*</m:t>
        </m:r>
        <m:r>
          <m:rPr>
            <m:sty m:val="p"/>
          </m:rPr>
          <m:t>*</m:t>
        </m:r>
        <m:r>
          <m:t>r</m:t>
        </m:r>
        <m:r>
          <m:t>e</m:t>
        </m:r>
        <m:r>
          <m:t>l</m:t>
        </m:r>
        <m:r>
          <m:t>a</m:t>
        </m:r>
        <m:r>
          <m:t>t</m:t>
        </m:r>
        <m:r>
          <m:t>e</m:t>
        </m:r>
        <m:r>
          <m:t>d</m:t>
        </m:r>
        <m:r>
          <m:t>t</m:t>
        </m:r>
        <m:r>
          <m:t>o</m:t>
        </m:r>
        <m:r>
          <m:t>l</m:t>
        </m:r>
        <m:r>
          <m:t>e</m:t>
        </m:r>
        <m:r>
          <m:t>g</m:t>
        </m:r>
        <m:r>
          <m:t>a</m:t>
        </m:r>
        <m:r>
          <m:t>c</m:t>
        </m:r>
        <m:r>
          <m:t>y</m:t>
        </m:r>
        <m:r>
          <m:t>s</m:t>
        </m:r>
        <m:r>
          <m:t>e</m:t>
        </m:r>
        <m:r>
          <m:t>x</m:t>
        </m:r>
        <m:r>
          <m:t>u</m:t>
        </m:r>
        <m:r>
          <m:t>a</m:t>
        </m:r>
        <m:r>
          <m:t>l</m:t>
        </m:r>
        <m:r>
          <m:rPr>
            <m:sty m:val="p"/>
          </m:rPr>
          <m:t>−</m:t>
        </m:r>
        <m:r>
          <m:t>a</m:t>
        </m:r>
        <m:r>
          <m:t>b</m:t>
        </m:r>
        <m:r>
          <m:t>u</m:t>
        </m:r>
        <m:r>
          <m:t>s</m:t>
        </m:r>
        <m:r>
          <m:t>e</m:t>
        </m:r>
        <m:r>
          <m:t>a</m:t>
        </m:r>
        <m:r>
          <m:t>n</m:t>
        </m:r>
        <m:r>
          <m:t>d</m:t>
        </m:r>
        <m:r>
          <m:t>m</m:t>
        </m:r>
        <m:r>
          <m:t>o</m:t>
        </m:r>
        <m:r>
          <m:t>l</m:t>
        </m:r>
        <m:r>
          <m:t>e</m:t>
        </m:r>
        <m:r>
          <m:t>s</m:t>
        </m:r>
        <m:r>
          <m:t>t</m:t>
        </m:r>
        <m:r>
          <m:t>a</m:t>
        </m:r>
        <m:r>
          <m:t>t</m:t>
        </m:r>
        <m:r>
          <m:t>i</m:t>
        </m:r>
        <m:r>
          <m:t>o</m:t>
        </m:r>
        <m:r>
          <m:t>n</m:t>
        </m:r>
        <m:r>
          <m:t>e</m:t>
        </m:r>
        <m:r>
          <m:t>x</m:t>
        </m:r>
        <m:r>
          <m:t>p</m:t>
        </m:r>
        <m:r>
          <m:t>o</m:t>
        </m:r>
        <m:r>
          <m:t>s</m:t>
        </m:r>
        <m:r>
          <m:t>u</m:t>
        </m:r>
        <m:r>
          <m:t>r</m:t>
        </m:r>
        <m:r>
          <m:t>e</m:t>
        </m:r>
        <m:r>
          <m:t>s</m:t>
        </m:r>
        <m:r>
          <m:rPr>
            <m:sty m:val="p"/>
          </m:rPr>
          <m:t>.</m:t>
        </m:r>
        <m:r>
          <m:t>T</m:t>
        </m:r>
        <m:r>
          <m:t>h</m:t>
        </m:r>
        <m:r>
          <m:t>e</m:t>
        </m:r>
        <m:r>
          <m:t>m</m:t>
        </m:r>
        <m:r>
          <m:t>a</m:t>
        </m:r>
        <m:r>
          <m:t>r</m:t>
        </m:r>
        <m:r>
          <m:t>k</m:t>
        </m:r>
        <m:r>
          <m:t>e</m:t>
        </m:r>
        <m:r>
          <m:t>t</m:t>
        </m:r>
        <m:r>
          <m:t>w</m:t>
        </m:r>
        <m:r>
          <m:t>i</m:t>
        </m:r>
        <m:r>
          <m:t>l</m:t>
        </m:r>
        <m:r>
          <m:t>l</m:t>
        </m:r>
        <m:r>
          <m:t>w</m:t>
        </m:r>
        <m:r>
          <m:t>a</m:t>
        </m:r>
        <m:r>
          <m:t>n</m:t>
        </m:r>
        <m:r>
          <m:t>t</m:t>
        </m:r>
        <m:r>
          <m:t>c</m:t>
        </m:r>
        <m:r>
          <m:t>o</m:t>
        </m:r>
        <m:r>
          <m:t>n</m:t>
        </m:r>
        <m:r>
          <m:t>f</m:t>
        </m:r>
        <m:r>
          <m:t>i</m:t>
        </m:r>
        <m:r>
          <m:t>r</m:t>
        </m:r>
        <m:r>
          <m:t>m</m:t>
        </m:r>
        <m:r>
          <m:t>a</m:t>
        </m:r>
        <m:r>
          <m:t>t</m:t>
        </m:r>
        <m:r>
          <m:t>i</m:t>
        </m:r>
        <m:r>
          <m:t>o</m:t>
        </m:r>
        <m:r>
          <m:t>n</m:t>
        </m:r>
        <m:r>
          <m:t>t</m:t>
        </m:r>
        <m:r>
          <m:t>h</m:t>
        </m:r>
        <m:r>
          <m:t>a</m:t>
        </m:r>
        <m:r>
          <m:t>t</m:t>
        </m:r>
        <m:r>
          <m:t>t</m:t>
        </m:r>
        <m:r>
          <m:t>h</m:t>
        </m:r>
        <m:r>
          <m:t>i</m:t>
        </m:r>
        <m:r>
          <m:t>s</m:t>
        </m:r>
        <m:r>
          <m:t>w</m:t>
        </m:r>
        <m:r>
          <m:t>a</m:t>
        </m:r>
        <m:r>
          <m:t>s</m:t>
        </m:r>
        <m:r>
          <m:t>i</m:t>
        </m:r>
        <m:r>
          <m:t>s</m:t>
        </m:r>
        <m:r>
          <m:t>o</m:t>
        </m:r>
        <m:r>
          <m:t>l</m:t>
        </m:r>
        <m:r>
          <m:t>a</m:t>
        </m:r>
        <m:r>
          <m:t>t</m:t>
        </m:r>
        <m:r>
          <m:t>e</m:t>
        </m:r>
        <m:r>
          <m:t>d</m:t>
        </m:r>
        <m:r>
          <m:t>r</m:t>
        </m:r>
        <m:r>
          <m:t>a</m:t>
        </m:r>
        <m:r>
          <m:t>t</m:t>
        </m:r>
        <m:r>
          <m:t>h</m:t>
        </m:r>
        <m:r>
          <m:t>e</m:t>
        </m:r>
        <m:r>
          <m:t>r</m:t>
        </m:r>
        <m:r>
          <m:t>t</m:t>
        </m:r>
        <m:r>
          <m:t>h</m:t>
        </m:r>
        <m:r>
          <m:t>a</m:t>
        </m:r>
        <m:r>
          <m:t>n</m:t>
        </m:r>
        <m:r>
          <m:t>a</m:t>
        </m:r>
        <m:r>
          <m:t>s</m:t>
        </m:r>
        <m:r>
          <m:t>i</m:t>
        </m:r>
        <m:r>
          <m:t>g</m:t>
        </m:r>
        <m:r>
          <m:t>n</m:t>
        </m:r>
        <m:r>
          <m:t>a</m:t>
        </m:r>
        <m:r>
          <m:t>l</m:t>
        </m:r>
        <m:r>
          <m:t>o</m:t>
        </m:r>
        <m:r>
          <m:t>f</m:t>
        </m:r>
        <m:r>
          <m:t>a</m:t>
        </m:r>
        <m:r>
          <m:t>b</m:t>
        </m:r>
        <m:r>
          <m:t>r</m:t>
        </m:r>
        <m:r>
          <m:t>o</m:t>
        </m:r>
        <m:r>
          <m:t>a</m:t>
        </m:r>
        <m:r>
          <m:t>d</m:t>
        </m:r>
        <m:r>
          <m:t>e</m:t>
        </m:r>
        <m:r>
          <m:t>r</m:t>
        </m:r>
        <m:r>
          <m:t>c</m:t>
        </m:r>
        <m:r>
          <m:t>a</m:t>
        </m:r>
        <m:r>
          <m:t>s</m:t>
        </m:r>
        <m:r>
          <m:t>u</m:t>
        </m:r>
        <m:r>
          <m:t>a</m:t>
        </m:r>
        <m:r>
          <m:t>l</m:t>
        </m:r>
        <m:r>
          <m:t>t</m:t>
        </m:r>
        <m:r>
          <m:t>y</m:t>
        </m:r>
        <m:r>
          <m:rPr>
            <m:sty m:val="p"/>
          </m:rPr>
          <m:t>−</m:t>
        </m:r>
        <m:r>
          <m:t>r</m:t>
        </m:r>
        <m:r>
          <m:t>e</m:t>
        </m:r>
        <m:r>
          <m:t>s</m:t>
        </m:r>
        <m:r>
          <m:t>e</m:t>
        </m:r>
        <m:r>
          <m:t>r</m:t>
        </m:r>
        <m:r>
          <m:t>v</m:t>
        </m:r>
        <m:r>
          <m:t>i</m:t>
        </m:r>
        <m:r>
          <m:t>n</m:t>
        </m:r>
        <m:r>
          <m:t>g</m:t>
        </m:r>
        <m:r>
          <m:t>i</m:t>
        </m:r>
        <m:r>
          <m:t>s</m:t>
        </m:r>
        <m:r>
          <m:t>s</m:t>
        </m:r>
        <m:r>
          <m:t>u</m:t>
        </m:r>
        <m:r>
          <m:t>e</m:t>
        </m:r>
        <m:r>
          <m:rPr>
            <m:sty m:val="p"/>
          </m:rPr>
          <m:t>.</m:t>
        </m:r>
        <m:r>
          <m:t>H</m:t>
        </m:r>
        <m:r>
          <m:t>I</m:t>
        </m:r>
        <m:r>
          <m:t>G</m:t>
        </m:r>
        <m:r>
          <m:rPr>
            <m:sty m:val="p"/>
          </m:rPr>
          <m:t>’</m:t>
        </m:r>
        <m:r>
          <m:t>s</m:t>
        </m:r>
        <m:r>
          <m:t>2</m:t>
        </m:r>
        <m:r>
          <m:t>Q</m:t>
        </m:r>
        <m:r>
          <m:t>25</m:t>
        </m:r>
        <m:r>
          <m:t>r</m:t>
        </m:r>
        <m:r>
          <m:t>e</m:t>
        </m:r>
        <m:r>
          <m:t>s</m:t>
        </m:r>
        <m:r>
          <m:t>u</m:t>
        </m:r>
        <m:r>
          <m:t>l</m:t>
        </m:r>
        <m:r>
          <m:t>t</m:t>
        </m:r>
        <m:r>
          <m:t>b</m:t>
        </m:r>
        <m:r>
          <m:t>e</m:t>
        </m:r>
        <m:r>
          <m:t>n</m:t>
        </m:r>
        <m:r>
          <m:t>e</m:t>
        </m:r>
        <m:r>
          <m:t>f</m:t>
        </m:r>
        <m:r>
          <m:t>i</m:t>
        </m:r>
        <m:r>
          <m:t>t</m:t>
        </m:r>
        <m:r>
          <m:t>e</m:t>
        </m:r>
        <m:r>
          <m:t>d</m:t>
        </m:r>
        <m:r>
          <m:t>f</m:t>
        </m:r>
        <m:r>
          <m:t>r</m:t>
        </m:r>
        <m:r>
          <m:t>o</m:t>
        </m:r>
        <m:r>
          <m:t>m</m:t>
        </m:r>
        <m:r>
          <m:rPr>
            <m:sty m:val="p"/>
          </m:rPr>
          <m:t>*</m:t>
        </m:r>
        <m:r>
          <m:rPr>
            <m:sty m:val="p"/>
          </m:rPr>
          <m:t>*</m:t>
        </m:r>
      </m:oMath>
      <w:r>
        <w:rPr>
          <w:b/>
          <w:bCs/>
        </w:rPr>
        <w:t xml:space="preserve">163 million of favorable PYD</w:t>
      </w:r>
      <w:r>
        <w:t xml:space="preserve">, making a direct reported earnings comparison especially difficult. (</w:t>
      </w:r>
      <w:hyperlink r:id="rId11">
        <w:r>
          <w:rPr>
            <w:rStyle w:val="Hyperlink"/>
          </w:rPr>
          <w:t xml:space="preserve">ir.thehartford.com</w:t>
        </w:r>
      </w:hyperlink>
      <w:r>
        <w:t xml:space="preserve">)</w:t>
      </w:r>
    </w:p>
    <w:p>
      <w:pPr>
        <w:pStyle w:val="BodyText"/>
      </w:pPr>
      <w:r>
        <w:rPr>
          <w:b/>
          <w:bCs/>
        </w:rPr>
        <w:t xml:space="preserve">Read-through for the stock</w:t>
      </w:r>
    </w:p>
    <w:p>
      <w:pPr>
        <w:pStyle w:val="Compact"/>
        <w:numPr>
          <w:ilvl w:val="0"/>
          <w:numId w:val="1006"/>
        </w:numPr>
      </w:pPr>
      <w:r>
        <w:t xml:space="preserve">Low catastrophe losses and favorable or neutral PYD would support a high-quality beat.</w:t>
      </w:r>
    </w:p>
    <w:p>
      <w:pPr>
        <w:pStyle w:val="Compact"/>
        <w:numPr>
          <w:ilvl w:val="0"/>
          <w:numId w:val="1006"/>
        </w:numPr>
      </w:pPr>
      <w:r>
        <w:t xml:space="preserve">Material catastrophe losses, especially if aggregate cover utilization rises quickly, could overshadow otherwise solid underwriting.</w:t>
      </w:r>
    </w:p>
    <w:p>
      <w:pPr>
        <w:pStyle w:val="Compact"/>
        <w:numPr>
          <w:ilvl w:val="0"/>
          <w:numId w:val="1006"/>
        </w:numPr>
      </w:pPr>
      <w:r>
        <w:t xml:space="preserve">Any unexpected adverse development in general liability or other long-tail reserves would likely be viewed more negatively than a weather-driven miss.</w:t>
      </w:r>
    </w:p>
    <w:bookmarkEnd w:id="15"/>
    <w:bookmarkStart w:id="16" w:name="X6546044662fb05a72e3f77d3545059520b490d3"/>
    <w:p>
      <w:pPr>
        <w:pStyle w:val="Heading3"/>
      </w:pPr>
      <w:r>
        <w:t xml:space="preserve">4. Employee Benefits: margin normalization is the key risk</w:t>
      </w:r>
    </w:p>
    <w:p>
      <w:pPr>
        <w:pStyle w:val="FirstParagraph"/>
      </w:pPr>
      <w:r>
        <w:t xml:space="preserve">Employee Benefits was a relative soft spot in 1Q26. Core earnings declined to</w:t>
      </w:r>
      <w:r>
        <w:t xml:space="preserve"> </w:t>
      </w:r>
      <w:r>
        <w:rPr>
          <w:b/>
          <w:bCs/>
        </w:rPr>
        <w:t xml:space="preserve">$127 million</w:t>
      </w:r>
      <w:r>
        <w:t xml:space="preserve">, and the core margin fell to</w:t>
      </w:r>
      <w:r>
        <w:t xml:space="preserve"> </w:t>
      </w:r>
      <w:r>
        <w:rPr>
          <w:b/>
          <w:bCs/>
        </w:rPr>
        <w:t xml:space="preserve">6.9%</w:t>
      </w:r>
      <w:r>
        <w:t xml:space="preserve"> </w:t>
      </w:r>
      <w:r>
        <w:t xml:space="preserve">from</w:t>
      </w:r>
      <w:r>
        <w:t xml:space="preserve"> </w:t>
      </w:r>
      <w:r>
        <w:rPr>
          <w:b/>
          <w:bCs/>
        </w:rPr>
        <w:t xml:space="preserve">7.6%</w:t>
      </w:r>
      <w:r>
        <w:t xml:space="preserve"> </w:t>
      </w:r>
      <w:r>
        <w:t xml:space="preserve">a year earlier. The drivers were higher group-disability claims and higher technology and staffing costs, partly offset by notably favorable group-life mortality. (</w:t>
      </w:r>
      <w:hyperlink r:id="rId10">
        <w:r>
          <w:rPr>
            <w:rStyle w:val="Hyperlink"/>
          </w:rPr>
          <w:t xml:space="preserve">ir.thehartford.com</w:t>
        </w:r>
      </w:hyperlink>
      <w:r>
        <w:t xml:space="preserve">)</w:t>
      </w:r>
    </w:p>
    <w:p>
      <w:pPr>
        <w:pStyle w:val="BodyText"/>
      </w:pPr>
      <w:r>
        <w:t xml:space="preserve">Management described higher utilization in paid family and medical leave products and less favorable long-term disability trends, while emphasizing that it is taking pricing actions.</w:t>
      </w:r>
    </w:p>
    <w:p>
      <w:pPr>
        <w:pStyle w:val="BodyText"/>
      </w:pPr>
      <w:r>
        <w:t xml:space="preserve">This deserves particular attention because 2Q25 Employee Benefits results were very strong:</w:t>
      </w:r>
      <w:r>
        <w:t xml:space="preserve"> </w:t>
      </w:r>
      <w:r>
        <w:rPr>
          <w:b/>
          <w:bCs/>
        </w:rPr>
        <w:t xml:space="preserve">$163 million of core earnings</w:t>
      </w:r>
      <w:r>
        <w:t xml:space="preserve"> </w:t>
      </w:r>
      <w:r>
        <w:t xml:space="preserve">and a</w:t>
      </w:r>
      <w:r>
        <w:t xml:space="preserve"> </w:t>
      </w:r>
      <w:r>
        <w:rPr>
          <w:b/>
          <w:bCs/>
        </w:rPr>
        <w:t xml:space="preserve">9.2% core margin</w:t>
      </w:r>
      <w:r>
        <w:t xml:space="preserve">. (</w:t>
      </w:r>
      <w:hyperlink r:id="rId11">
        <w:r>
          <w:rPr>
            <w:rStyle w:val="Hyperlink"/>
          </w:rPr>
          <w:t xml:space="preserve">ir.thehartford.com</w:t>
        </w:r>
      </w:hyperlink>
      <w:r>
        <w:t xml:space="preserve">)</w:t>
      </w:r>
    </w:p>
    <w:p>
      <w:pPr>
        <w:pStyle w:val="BodyText"/>
      </w:pPr>
      <w:r>
        <w:rPr>
          <w:b/>
          <w:bCs/>
        </w:rPr>
        <w:t xml:space="preserve">Key questions for the call</w:t>
      </w:r>
    </w:p>
    <w:p>
      <w:pPr>
        <w:pStyle w:val="Compact"/>
        <w:numPr>
          <w:ilvl w:val="0"/>
          <w:numId w:val="1007"/>
        </w:numPr>
      </w:pPr>
      <w:r>
        <w:t xml:space="preserve">Is group-disability loss experience stabilizing?</w:t>
      </w:r>
    </w:p>
    <w:p>
      <w:pPr>
        <w:pStyle w:val="Compact"/>
        <w:numPr>
          <w:ilvl w:val="0"/>
          <w:numId w:val="1007"/>
        </w:numPr>
      </w:pPr>
      <w:r>
        <w:t xml:space="preserve">Are paid-family-and-medical-leave price increases adequately offsetting utilization?</w:t>
      </w:r>
    </w:p>
    <w:p>
      <w:pPr>
        <w:pStyle w:val="Compact"/>
        <w:numPr>
          <w:ilvl w:val="0"/>
          <w:numId w:val="1007"/>
        </w:numPr>
      </w:pPr>
      <w:r>
        <w:t xml:space="preserve">Can expense ratios begin to improve after the investment period?</w:t>
      </w:r>
    </w:p>
    <w:p>
      <w:pPr>
        <w:pStyle w:val="Compact"/>
        <w:numPr>
          <w:ilvl w:val="0"/>
          <w:numId w:val="1007"/>
        </w:numPr>
      </w:pPr>
      <w:r>
        <w:t xml:space="preserve">Does strong sales growth translate into profitable premium growth rather than margin dilution?</w:t>
      </w:r>
    </w:p>
    <w:bookmarkEnd w:id="16"/>
    <w:bookmarkStart w:id="17" w:name="X58036a7a27ef27506aa5bafcaeaee232a96e282"/>
    <w:p>
      <w:pPr>
        <w:pStyle w:val="Heading3"/>
      </w:pPr>
      <w:r>
        <w:t xml:space="preserve">5. Investment income: durable tailwind, but alternatives add variability</w:t>
      </w:r>
    </w:p>
    <w:p>
      <w:pPr>
        <w:pStyle w:val="FirstParagraph"/>
      </w:pPr>
      <w:r>
        <w:t xml:space="preserve">Investment income remains an important support for earnings. In 1Q26, consolidated pre-tax net investment income increased</w:t>
      </w:r>
      <w:r>
        <w:t xml:space="preserve"> </w:t>
      </w:r>
      <w:r>
        <w:rPr>
          <w:b/>
          <w:bCs/>
        </w:rPr>
        <w:t xml:space="preserve">13% year over year to $739 million</w:t>
      </w:r>
      <w:r>
        <w:t xml:space="preserve">. Excluding limited partnerships and other alternatives, it rose</w:t>
      </w:r>
      <w:r>
        <w:t xml:space="preserve"> </w:t>
      </w:r>
      <w:r>
        <w:rPr>
          <w:b/>
          <w:bCs/>
        </w:rPr>
        <w:t xml:space="preserve">7.6% to $664 million</w:t>
      </w:r>
      <w:r>
        <w:t xml:space="preserve">, reflecting a larger asset base and reinvestment at higher yields. (</w:t>
      </w:r>
      <w:hyperlink r:id="rId10">
        <w:r>
          <w:rPr>
            <w:rStyle w:val="Hyperlink"/>
          </w:rPr>
          <w:t xml:space="preserve">ir.thehartford.com</w:t>
        </w:r>
      </w:hyperlink>
      <w:r>
        <w:t xml:space="preserve">)</w:t>
      </w:r>
    </w:p>
    <w:p>
      <w:pPr>
        <w:pStyle w:val="BodyText"/>
      </w:pPr>
      <w:r>
        <w:t xml:space="preserve">Management’s 2026 outlook was for investment income to increase, with overall portfolio yields generally in line with 2025. The key distinction is that core fixed-income carry appears durable, whereas limited-partnership income can be volatile quarter to quarter.</w:t>
      </w:r>
    </w:p>
    <w:p>
      <w:pPr>
        <w:pStyle w:val="BodyText"/>
      </w:pPr>
      <w:r>
        <w:rPr>
          <w:b/>
          <w:bCs/>
        </w:rPr>
        <w:t xml:space="preserve">Investor focus:</w:t>
      </w:r>
      <w:r>
        <w:t xml:space="preserve"> </w:t>
      </w:r>
      <w:r>
        <w:t xml:space="preserve">stable ex-alternatives investment income would reinforce the earnings base; an unusually strong or weak alternative-investment contribution should be discounted when assessing the recurring run rate.</w:t>
      </w:r>
    </w:p>
    <w:bookmarkEnd w:id="17"/>
    <w:bookmarkEnd w:id="18"/>
    <w:bookmarkStart w:id="20" w:name="Xc25d3523c54936d1086d72396b8e7ca221c7757"/>
    <w:p>
      <w:pPr>
        <w:pStyle w:val="Heading2"/>
      </w:pPr>
      <w:r>
        <w:t xml:space="preserve">Hartford Funds transaction: expect GAAP noise and a changed core-earnings base</w:t>
      </w:r>
    </w:p>
    <w:p>
      <w:pPr>
        <w:pStyle w:val="FirstParagraph"/>
      </w:pPr>
      <w:r>
        <w:t xml:space="preserve">The June agreement to sell Hartford Funds to Wellington is the most important non-underwriting development heading into the report.</w:t>
      </w:r>
    </w:p>
    <w:p>
      <w:pPr>
        <w:pStyle w:val="BodyText"/>
      </w:pPr>
      <w:r>
        <w:t xml:space="preserve">The transaction is expected to close in</w:t>
      </w:r>
      <w:r>
        <w:t xml:space="preserve"> </w:t>
      </w:r>
      <w:r>
        <w:rPr>
          <w:b/>
          <w:bCs/>
        </w:rPr>
        <w:t xml:space="preserve">1Q27</w:t>
      </w:r>
      <w:r>
        <w:t xml:space="preserve">. Beginning in</w:t>
      </w:r>
      <w:r>
        <w:t xml:space="preserve"> </w:t>
      </w:r>
      <w:r>
        <w:rPr>
          <w:b/>
          <w:bCs/>
        </w:rPr>
        <w:t xml:space="preserve">2Q26</w:t>
      </w:r>
      <w:r>
        <w:t xml:space="preserve">, Hartford Funds will be classified as discontinued operations: its results will remain in GAAP net income but be</w:t>
      </w:r>
      <w:r>
        <w:t xml:space="preserve"> </w:t>
      </w:r>
      <w:r>
        <w:rPr>
          <w:b/>
          <w:bCs/>
        </w:rPr>
        <w:t xml:space="preserve">excluded from core earnings</w:t>
      </w:r>
      <w:r>
        <w:t xml:space="preserve">. HIG also expects to record a</w:t>
      </w:r>
      <w:r>
        <w:t xml:space="preserve"> </w:t>
      </w:r>
      <m:oMath>
        <m:r>
          <m:t>250</m:t>
        </m:r>
        <m:r>
          <m:t>m</m:t>
        </m:r>
        <m:r>
          <m:t>i</m:t>
        </m:r>
        <m:r>
          <m:t>l</m:t>
        </m:r>
        <m:r>
          <m:t>l</m:t>
        </m:r>
        <m:r>
          <m:t>i</m:t>
        </m:r>
        <m:r>
          <m:t>o</m:t>
        </m:r>
        <m:r>
          <m:t>n</m:t>
        </m:r>
        <m:r>
          <m:t>d</m:t>
        </m:r>
        <m:r>
          <m:t>e</m:t>
        </m:r>
        <m:r>
          <m:t>f</m:t>
        </m:r>
        <m:r>
          <m:t>e</m:t>
        </m:r>
        <m:r>
          <m:t>r</m:t>
        </m:r>
        <m:r>
          <m:t>r</m:t>
        </m:r>
        <m:r>
          <m:t>e</m:t>
        </m:r>
        <m:r>
          <m:t>d</m:t>
        </m:r>
        <m:r>
          <m:t>t</m:t>
        </m:r>
        <m:r>
          <m:t>a</m:t>
        </m:r>
        <m:r>
          <m:t>x</m:t>
        </m:r>
        <m:r>
          <m:t>a</m:t>
        </m:r>
        <m:r>
          <m:t>s</m:t>
        </m:r>
        <m:r>
          <m:t>s</m:t>
        </m:r>
        <m:r>
          <m:t>e</m:t>
        </m:r>
        <m:r>
          <m:t>t</m:t>
        </m:r>
        <m:r>
          <m:rPr>
            <m:sty m:val="p"/>
          </m:rPr>
          <m:t>*</m:t>
        </m:r>
        <m:r>
          <m:rPr>
            <m:sty m:val="p"/>
          </m:rPr>
          <m:t>*</m:t>
        </m:r>
        <m:r>
          <m:t>i</m:t>
        </m:r>
        <m:r>
          <m:t>n</m:t>
        </m:r>
        <m:r>
          <m:t>2</m:t>
        </m:r>
        <m:r>
          <m:t>Q</m:t>
        </m:r>
        <m:r>
          <m:t>26</m:t>
        </m:r>
        <m:r>
          <m:rPr>
            <m:sty m:val="p"/>
          </m:rPr>
          <m:t>,</m:t>
        </m:r>
        <m:r>
          <m:t>w</m:t>
        </m:r>
        <m:r>
          <m:t>h</m:t>
        </m:r>
        <m:r>
          <m:t>i</m:t>
        </m:r>
        <m:r>
          <m:t>c</m:t>
        </m:r>
        <m:r>
          <m:t>h</m:t>
        </m:r>
        <m:r>
          <m:t>b</m:t>
        </m:r>
        <m:r>
          <m:t>o</m:t>
        </m:r>
        <m:r>
          <m:t>o</m:t>
        </m:r>
        <m:r>
          <m:t>s</m:t>
        </m:r>
        <m:r>
          <m:t>t</m:t>
        </m:r>
        <m:r>
          <m:t>s</m:t>
        </m:r>
        <m:r>
          <m:t>G</m:t>
        </m:r>
        <m:r>
          <m:t>A</m:t>
        </m:r>
        <m:r>
          <m:t>A</m:t>
        </m:r>
        <m:r>
          <m:t>P</m:t>
        </m:r>
        <m:r>
          <m:t>n</m:t>
        </m:r>
        <m:r>
          <m:t>e</m:t>
        </m:r>
        <m:r>
          <m:t>t</m:t>
        </m:r>
        <m:r>
          <m:t>i</m:t>
        </m:r>
        <m:r>
          <m:t>n</m:t>
        </m:r>
        <m:r>
          <m:t>c</m:t>
        </m:r>
        <m:r>
          <m:t>o</m:t>
        </m:r>
        <m:r>
          <m:t>m</m:t>
        </m:r>
        <m:r>
          <m:t>e</m:t>
        </m:r>
        <m:r>
          <m:t>b</m:t>
        </m:r>
        <m:r>
          <m:t>u</m:t>
        </m:r>
        <m:r>
          <m:t>t</m:t>
        </m:r>
        <m:r>
          <m:t>n</m:t>
        </m:r>
        <m:r>
          <m:t>o</m:t>
        </m:r>
        <m:r>
          <m:t>t</m:t>
        </m:r>
        <m:r>
          <m:t>c</m:t>
        </m:r>
        <m:r>
          <m:t>o</m:t>
        </m:r>
        <m:r>
          <m:t>r</m:t>
        </m:r>
        <m:r>
          <m:t>e</m:t>
        </m:r>
        <m:r>
          <m:t>e</m:t>
        </m:r>
        <m:r>
          <m:t>a</m:t>
        </m:r>
        <m:r>
          <m:t>r</m:t>
        </m:r>
        <m:r>
          <m:t>n</m:t>
        </m:r>
        <m:r>
          <m:t>i</m:t>
        </m:r>
        <m:r>
          <m:t>n</m:t>
        </m:r>
        <m:r>
          <m:t>g</m:t>
        </m:r>
        <m:r>
          <m:t>s</m:t>
        </m:r>
        <m:r>
          <m:rPr>
            <m:sty m:val="p"/>
          </m:rPr>
          <m:t>,</m:t>
        </m:r>
        <m:r>
          <m:t>a</m:t>
        </m:r>
        <m:r>
          <m:t>n</m:t>
        </m:r>
        <m:r>
          <m:t>d</m:t>
        </m:r>
        <m:r>
          <m:t>e</m:t>
        </m:r>
        <m:r>
          <m:t>x</m:t>
        </m:r>
        <m:r>
          <m:t>p</m:t>
        </m:r>
        <m:r>
          <m:t>e</m:t>
        </m:r>
        <m:r>
          <m:t>c</m:t>
        </m:r>
        <m:r>
          <m:t>t</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55 million of after-tax transaction costs through closing</w:t>
      </w:r>
      <w:r>
        <w:t xml:space="preserve">. (</w:t>
      </w:r>
      <w:hyperlink r:id="rId19">
        <w:r>
          <w:rPr>
            <w:rStyle w:val="Hyperlink"/>
          </w:rPr>
          <w:t xml:space="preserve">ir.thehartford.com</w:t>
        </w:r>
      </w:hyperlink>
      <w:r>
        <w:t xml:space="preserve">)</w:t>
      </w:r>
    </w:p>
    <w:p>
      <w:pPr>
        <w:pStyle w:val="BodyText"/>
      </w:pPr>
      <w:r>
        <w:t xml:space="preserve">The economic consideration includes</w:t>
      </w:r>
      <w:r>
        <w:t xml:space="preserve"> </w:t>
      </w:r>
      <m:oMath>
        <m:r>
          <m:t>300</m:t>
        </m:r>
        <m:r>
          <m:t>m</m:t>
        </m:r>
        <m:r>
          <m:t>i</m:t>
        </m:r>
        <m:r>
          <m:t>l</m:t>
        </m:r>
        <m:r>
          <m:t>l</m:t>
        </m:r>
        <m:r>
          <m:t>i</m:t>
        </m:r>
        <m:r>
          <m:t>o</m:t>
        </m:r>
        <m:r>
          <m:t>n</m:t>
        </m:r>
        <m:r>
          <m:t>c</m:t>
        </m:r>
        <m:r>
          <m:t>a</m:t>
        </m:r>
        <m:r>
          <m:t>s</m:t>
        </m:r>
        <m:r>
          <m:t>h</m:t>
        </m:r>
        <m:r>
          <m:t>a</m:t>
        </m:r>
        <m:r>
          <m:t>t</m:t>
        </m:r>
        <m:r>
          <m:t>c</m:t>
        </m:r>
        <m:r>
          <m:t>l</m:t>
        </m:r>
        <m:r>
          <m:t>o</m:t>
        </m:r>
        <m:r>
          <m:t>s</m:t>
        </m:r>
        <m:r>
          <m:t>i</m:t>
        </m:r>
        <m:r>
          <m:t>n</m:t>
        </m:r>
        <m:r>
          <m:t>g</m:t>
        </m:r>
        <m:r>
          <m:rPr>
            <m:sty m:val="p"/>
          </m:rPr>
          <m:t>*</m:t>
        </m:r>
        <m:r>
          <m:rPr>
            <m:sty m:val="p"/>
          </m:rPr>
          <m:t>*</m:t>
        </m:r>
        <m:r>
          <m:t>p</m:t>
        </m:r>
        <m:r>
          <m:t>l</m:t>
        </m:r>
        <m:r>
          <m:t>u</m:t>
        </m:r>
        <m:r>
          <m:t>s</m:t>
        </m:r>
        <m:r>
          <m:t>o</m:t>
        </m:r>
        <m:r>
          <m:t>n</m:t>
        </m:r>
        <m:r>
          <m:t>g</m:t>
        </m:r>
        <m:r>
          <m:t>o</m:t>
        </m:r>
        <m:r>
          <m:t>i</m:t>
        </m:r>
        <m:r>
          <m:t>n</m:t>
        </m:r>
        <m:r>
          <m:t>g</m:t>
        </m:r>
        <m:r>
          <m:t>p</m:t>
        </m:r>
        <m:r>
          <m:t>a</m:t>
        </m:r>
        <m:r>
          <m:t>y</m:t>
        </m:r>
        <m:r>
          <m:t>m</m:t>
        </m:r>
        <m:r>
          <m:t>e</m:t>
        </m:r>
        <m:r>
          <m:t>n</m:t>
        </m:r>
        <m:r>
          <m:t>t</m:t>
        </m:r>
        <m:r>
          <m:t>s</m:t>
        </m:r>
        <m:r>
          <m:t>t</m:t>
        </m:r>
        <m:r>
          <m:t>i</m:t>
        </m:r>
        <m:r>
          <m:t>e</m:t>
        </m:r>
        <m:r>
          <m:t>d</m:t>
        </m:r>
        <m:r>
          <m:t>t</m:t>
        </m:r>
        <m:r>
          <m:t>o</m:t>
        </m:r>
        <m:r>
          <m:t>95</m:t>
        </m:r>
      </m:oMath>
      <w:r>
        <w:rPr>
          <w:b/>
          <w:bCs/>
        </w:rPr>
        <w:t xml:space="preserve">1.9 billion</w:t>
      </w:r>
      <w:r>
        <w:t xml:space="preserve">, subject to operating and market performance.</w:t>
      </w:r>
    </w:p>
    <w:p>
      <w:pPr>
        <w:pStyle w:val="BodyText"/>
      </w:pPr>
      <w:r>
        <w:rPr>
          <w:b/>
          <w:bCs/>
        </w:rPr>
        <w:t xml:space="preserve">Implication:</w:t>
      </w:r>
      <w:r>
        <w:t xml:space="preserve"> </w:t>
      </w:r>
      <w:r>
        <w:t xml:space="preserve">Investors should treat this quarter’s GAAP EPS as less informative than usual. The cleaner comparison is ongoing core earnings from Business Insurance, Personal Insurance, Employee Benefits, Corporate, and investment income—while explicitly recognizing that reported core EPS will lose the contribution previously generated by Hartford Funds.</w:t>
      </w:r>
    </w:p>
    <w:bookmarkEnd w:id="20"/>
    <w:bookmarkStart w:id="21" w:name="capital-management-remains-a-support"/>
    <w:p>
      <w:pPr>
        <w:pStyle w:val="Heading2"/>
      </w:pPr>
      <w:r>
        <w:t xml:space="preserve">Capital management remains a support</w:t>
      </w:r>
    </w:p>
    <w:p>
      <w:pPr>
        <w:pStyle w:val="FirstParagraph"/>
      </w:pPr>
      <w:r>
        <w:t xml:space="preserve">HIG returned</w:t>
      </w:r>
      <w:r>
        <w:t xml:space="preserve"> </w:t>
      </w:r>
      <m:oMath>
        <m:r>
          <m:t>617</m:t>
        </m:r>
        <m:r>
          <m:t>m</m:t>
        </m:r>
        <m:r>
          <m:t>i</m:t>
        </m:r>
        <m:r>
          <m:t>l</m:t>
        </m:r>
        <m:r>
          <m:t>l</m:t>
        </m:r>
        <m:r>
          <m:t>i</m:t>
        </m:r>
        <m:r>
          <m:t>o</m:t>
        </m:r>
        <m:r>
          <m:t>n</m:t>
        </m:r>
        <m:r>
          <m:rPr>
            <m:sty m:val="p"/>
          </m:rPr>
          <m:t>*</m:t>
        </m:r>
        <m:r>
          <m:rPr>
            <m:sty m:val="p"/>
          </m:rPr>
          <m:t>*</m:t>
        </m:r>
        <m:r>
          <m:t>t</m:t>
        </m:r>
        <m:r>
          <m:t>o</m:t>
        </m:r>
        <m:r>
          <m:t>s</m:t>
        </m:r>
        <m:r>
          <m:t>h</m:t>
        </m:r>
        <m:r>
          <m:t>a</m:t>
        </m:r>
        <m:r>
          <m:t>r</m:t>
        </m:r>
        <m:r>
          <m:t>e</m:t>
        </m:r>
        <m:r>
          <m:t>h</m:t>
        </m:r>
        <m:r>
          <m:t>o</m:t>
        </m:r>
        <m:r>
          <m:t>l</m:t>
        </m:r>
        <m:r>
          <m:t>d</m:t>
        </m:r>
        <m:r>
          <m:t>e</m:t>
        </m:r>
        <m:r>
          <m:t>r</m:t>
        </m:r>
        <m:r>
          <m:t>s</m:t>
        </m:r>
        <m:r>
          <m:t>i</m:t>
        </m:r>
        <m:r>
          <m:t>n</m:t>
        </m:r>
        <m:r>
          <m:t>1</m:t>
        </m:r>
        <m:r>
          <m:t>Q</m:t>
        </m:r>
        <m:r>
          <m:t>26</m:t>
        </m:r>
        <m:r>
          <m:rPr>
            <m:sty m:val="p"/>
          </m:rPr>
          <m:t>,</m:t>
        </m:r>
        <m:r>
          <m:t>i</m:t>
        </m:r>
        <m:r>
          <m:t>n</m:t>
        </m:r>
        <m:r>
          <m:t>c</m:t>
        </m:r>
        <m:r>
          <m:t>l</m:t>
        </m:r>
        <m:r>
          <m:t>u</m:t>
        </m:r>
        <m:r>
          <m:t>d</m:t>
        </m:r>
        <m:r>
          <m:t>i</m:t>
        </m:r>
        <m:r>
          <m:t>n</m:t>
        </m:r>
        <m:r>
          <m:t>g</m:t>
        </m:r>
        <m:r>
          <m:rPr>
            <m:sty m:val="p"/>
          </m:rPr>
          <m:t>*</m:t>
        </m:r>
        <m:r>
          <m:rPr>
            <m:sty m:val="p"/>
          </m:rPr>
          <m:t>*</m:t>
        </m:r>
      </m:oMath>
      <w:r>
        <w:rPr>
          <w:b/>
          <w:bCs/>
        </w:rPr>
        <w:t xml:space="preserve">450 million of buybacks</w:t>
      </w:r>
      <w:r>
        <w:t xml:space="preserve">, and said it expected to repurchase shares at a similar quarterly pace in 2Q. It had</w:t>
      </w:r>
      <w:r>
        <w:t xml:space="preserve"> </w:t>
      </w:r>
      <w:r>
        <w:rPr>
          <w:b/>
          <w:bCs/>
        </w:rPr>
        <w:t xml:space="preserve">$1.1 billion</w:t>
      </w:r>
      <w:r>
        <w:t xml:space="preserve"> </w:t>
      </w:r>
      <w:r>
        <w:t xml:space="preserve">remaining under its repurchase authorization as of March 31, 2026. (</w:t>
      </w:r>
      <w:hyperlink r:id="rId10">
        <w:r>
          <w:rPr>
            <w:rStyle w:val="Hyperlink"/>
          </w:rPr>
          <w:t xml:space="preserve">ir.thehartford.com</w:t>
        </w:r>
      </w:hyperlink>
      <w:r>
        <w:t xml:space="preserve">)</w:t>
      </w:r>
    </w:p>
    <w:p>
      <w:pPr>
        <w:pStyle w:val="BodyText"/>
      </w:pPr>
      <w:r>
        <w:t xml:space="preserve">The call should provide insight into whether the Hartford Funds transaction changes capital priorities—particularly the balance among buybacks, dividends, retained capital, and potential M&amp;A or reinsurance opportunities.</w:t>
      </w:r>
    </w:p>
    <w:bookmarkEnd w:id="21"/>
    <w:bookmarkStart w:id="22" w:name="stock-setup"/>
    <w:p>
      <w:pPr>
        <w:pStyle w:val="Heading2"/>
      </w:pPr>
      <w:r>
        <w:t xml:space="preserve">Stock setup</w:t>
      </w:r>
    </w:p>
    <w:p>
      <w:pPr>
        <w:pStyle w:val="FirstParagraph"/>
      </w:pPr>
      <w:r>
        <w:t xml:space="preserve">HIG closed at</w:t>
      </w:r>
      <w:r>
        <w:t xml:space="preserve"> </w:t>
      </w:r>
      <w:r>
        <w:rPr>
          <w:b/>
          <w:bCs/>
        </w:rPr>
        <w:t xml:space="preserve">$140.87 on July 22</w:t>
      </w:r>
      <w:r>
        <w:t xml:space="preserve">, up about</w:t>
      </w:r>
      <w:r>
        <w:t xml:space="preserve"> </w:t>
      </w:r>
      <w:r>
        <w:rPr>
          <w:b/>
          <w:bCs/>
        </w:rPr>
        <w:t xml:space="preserve">2.7% year to date</w:t>
      </w:r>
      <w:r>
        <w:t xml:space="preserve">, versus approximately</w:t>
      </w:r>
      <w:r>
        <w:t xml:space="preserve"> </w:t>
      </w:r>
      <w:r>
        <w:rPr>
          <w:b/>
          <w:bCs/>
        </w:rPr>
        <w:t xml:space="preserve">9.4% for the S&amp;P 500 ETF</w:t>
      </w:r>
      <w:r>
        <w:t xml:space="preserve"> </w:t>
      </w:r>
      <w:r>
        <w:t xml:space="preserve">over the same January 2–July 22 period.</w:t>
      </w:r>
    </w:p>
    <w:p>
      <w:pPr>
        <w:pStyle w:val="BodyText"/>
      </w:pPr>
      <w:r>
        <w:t xml:space="preserve">That relative underperformance suggests the market is not pricing in an unambiguously easy quarter. It also means a clean underwriting result, stable reserves, manageable catastrophe losses, and credible clarity around the Funds transaction could be well received. Conversely, the combination of commercial-price deceleration, reserve concerns, weaker Benefits margins, or elevated weather losses could pressure the shares even if headline GAAP EPS benefits from the deferred tax asset.</w:t>
      </w:r>
    </w:p>
    <w:bookmarkEnd w:id="22"/>
    <w:bookmarkStart w:id="23" w:name="earnings-scorecard"/>
    <w:p>
      <w:pPr>
        <w:pStyle w:val="Heading2"/>
      </w:pPr>
      <w:r>
        <w:t xml:space="preserve">Earnings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Area</w:t>
            </w:r>
          </w:p>
        </w:tc>
        <w:tc>
          <w:tcPr/>
          <w:p>
            <w:pPr>
              <w:pStyle w:val="Compact"/>
            </w:pPr>
            <w:r>
              <w:t xml:space="preserve">What investors want to see</w:t>
            </w:r>
          </w:p>
        </w:tc>
        <w:tc>
          <w:tcPr/>
          <w:p>
            <w:pPr>
              <w:pStyle w:val="Compact"/>
            </w:pPr>
            <w:r>
              <w:t xml:space="preserve">Why it matters</w:t>
            </w:r>
          </w:p>
        </w:tc>
      </w:tr>
      <w:tr>
        <w:tc>
          <w:tcPr/>
          <w:p>
            <w:pPr>
              <w:pStyle w:val="Compact"/>
            </w:pPr>
            <w:r>
              <w:t xml:space="preserve">Core earnings</w:t>
            </w:r>
          </w:p>
        </w:tc>
        <w:tc>
          <w:tcPr/>
          <w:p>
            <w:pPr>
              <w:pStyle w:val="Compact"/>
            </w:pPr>
            <w:r>
              <w:t xml:space="preserve">Clean ongoing earnings, adjusted for Hartford Funds discontinuation</w:t>
            </w:r>
          </w:p>
        </w:tc>
        <w:tc>
          <w:tcPr/>
          <w:p>
            <w:pPr>
              <w:pStyle w:val="Compact"/>
            </w:pPr>
            <w:r>
              <w:t xml:space="preserve">Reported GAAP and core comparisons will be distorted by transaction accounting</w:t>
            </w:r>
          </w:p>
        </w:tc>
      </w:tr>
      <w:tr>
        <w:tc>
          <w:tcPr/>
          <w:p>
            <w:pPr>
              <w:pStyle w:val="Compact"/>
            </w:pPr>
            <w:r>
              <w:t xml:space="preserve">Business Insurance</w:t>
            </w:r>
          </w:p>
        </w:tc>
        <w:tc>
          <w:tcPr/>
          <w:p>
            <w:pPr>
              <w:pStyle w:val="Compact"/>
            </w:pPr>
            <w:r>
              <w:t xml:space="preserve">Mid-single-digit growth with high-80s/low-90s underlying CR</w:t>
            </w:r>
          </w:p>
        </w:tc>
        <w:tc>
          <w:tcPr/>
          <w:p>
            <w:pPr>
              <w:pStyle w:val="Compact"/>
            </w:pPr>
            <w:r>
              <w:t xml:space="preserve">Tests commercial underwriting discipline in a softer market</w:t>
            </w:r>
          </w:p>
        </w:tc>
      </w:tr>
      <w:tr>
        <w:tc>
          <w:tcPr/>
          <w:p>
            <w:pPr>
              <w:pStyle w:val="Compact"/>
            </w:pPr>
            <w:r>
              <w:t xml:space="preserve">Personal Insurance</w:t>
            </w:r>
          </w:p>
        </w:tc>
        <w:tc>
          <w:tcPr/>
          <w:p>
            <w:pPr>
              <w:pStyle w:val="Compact"/>
            </w:pPr>
            <w:r>
              <w:t xml:space="preserve">Continued margin improvement without severe volume deterioration</w:t>
            </w:r>
          </w:p>
        </w:tc>
        <w:tc>
          <w:tcPr/>
          <w:p>
            <w:pPr>
              <w:pStyle w:val="Compact"/>
            </w:pPr>
            <w:r>
              <w:t xml:space="preserve">Determines whether the personal-lines recovery is sustainable</w:t>
            </w:r>
          </w:p>
        </w:tc>
      </w:tr>
      <w:tr>
        <w:tc>
          <w:tcPr/>
          <w:p>
            <w:pPr>
              <w:pStyle w:val="Compact"/>
            </w:pPr>
            <w:r>
              <w:t xml:space="preserve">Catastrophes / PYD</w:t>
            </w:r>
          </w:p>
        </w:tc>
        <w:tc>
          <w:tcPr/>
          <w:p>
            <w:pPr>
              <w:pStyle w:val="Compact"/>
            </w:pPr>
            <w:r>
              <w:t xml:space="preserve">Manageable CATs and no broader adverse reserve development</w:t>
            </w:r>
          </w:p>
        </w:tc>
        <w:tc>
          <w:tcPr/>
          <w:p>
            <w:pPr>
              <w:pStyle w:val="Compact"/>
            </w:pPr>
            <w:r>
              <w:t xml:space="preserve">Largest source of quarterly upside/downside</w:t>
            </w:r>
          </w:p>
        </w:tc>
      </w:tr>
      <w:tr>
        <w:tc>
          <w:tcPr/>
          <w:p>
            <w:pPr>
              <w:pStyle w:val="Compact"/>
            </w:pPr>
            <w:r>
              <w:t xml:space="preserve">Employee Benefits</w:t>
            </w:r>
          </w:p>
        </w:tc>
        <w:tc>
          <w:tcPr/>
          <w:p>
            <w:pPr>
              <w:pStyle w:val="Compact"/>
            </w:pPr>
            <w:r>
              <w:t xml:space="preserve">Stabilizing disability trends and improving margin outlook</w:t>
            </w:r>
          </w:p>
        </w:tc>
        <w:tc>
          <w:tcPr/>
          <w:p>
            <w:pPr>
              <w:pStyle w:val="Compact"/>
            </w:pPr>
            <w:r>
              <w:t xml:space="preserve">1Q margin weakened and 2Q25 comparison is demanding</w:t>
            </w:r>
          </w:p>
        </w:tc>
      </w:tr>
      <w:tr>
        <w:tc>
          <w:tcPr/>
          <w:p>
            <w:pPr>
              <w:pStyle w:val="Compact"/>
            </w:pPr>
            <w:r>
              <w:t xml:space="preserve">Net investment income</w:t>
            </w:r>
          </w:p>
        </w:tc>
        <w:tc>
          <w:tcPr/>
          <w:p>
            <w:pPr>
              <w:pStyle w:val="Compact"/>
            </w:pPr>
            <w:r>
              <w:t xml:space="preserve">Continued growth ex-alternatives</w:t>
            </w:r>
          </w:p>
        </w:tc>
        <w:tc>
          <w:tcPr/>
          <w:p>
            <w:pPr>
              <w:pStyle w:val="Compact"/>
            </w:pPr>
            <w:r>
              <w:t xml:space="preserve">Supports recurring earnings quality</w:t>
            </w:r>
          </w:p>
        </w:tc>
      </w:tr>
      <w:tr>
        <w:tc>
          <w:tcPr/>
          <w:p>
            <w:pPr>
              <w:pStyle w:val="Compact"/>
            </w:pPr>
            <w:r>
              <w:t xml:space="preserve">Buybacks / capital</w:t>
            </w:r>
          </w:p>
        </w:tc>
        <w:tc>
          <w:tcPr/>
          <w:p>
            <w:pPr>
              <w:pStyle w:val="Compact"/>
            </w:pPr>
            <w:r>
              <w:t xml:space="preserve">Confirmation of capital-return pace and transaction implications</w:t>
            </w:r>
          </w:p>
        </w:tc>
        <w:tc>
          <w:tcPr/>
          <w:p>
            <w:pPr>
              <w:pStyle w:val="Compact"/>
            </w:pPr>
            <w:r>
              <w:t xml:space="preserve">Important offset to slower organic growth or portfolio restructuring</w:t>
            </w:r>
          </w:p>
        </w:tc>
      </w:tr>
    </w:tbl>
    <w:bookmarkEnd w:id="23"/>
    <w:bookmarkStart w:id="24" w:name="bottom-line"/>
    <w:p>
      <w:pPr>
        <w:pStyle w:val="Heading2"/>
      </w:pPr>
      <w:r>
        <w:t xml:space="preserve">Bottom line</w:t>
      </w:r>
    </w:p>
    <w:p>
      <w:pPr>
        <w:pStyle w:val="FirstParagraph"/>
      </w:pPr>
      <w:r>
        <w:t xml:space="preserve">HIG’s 2Q26 report should be judged on</w:t>
      </w:r>
      <w:r>
        <w:t xml:space="preserve"> </w:t>
      </w:r>
      <w:r>
        <w:rPr>
          <w:b/>
          <w:bCs/>
        </w:rPr>
        <w:t xml:space="preserve">underwriting quality and forward earnings power</w:t>
      </w:r>
      <w:r>
        <w:t xml:space="preserve">, not headline GAAP EPS. The favorable case is intact if Business Insurance preserves margins despite moderating price, Personal Insurance sustains its recovery, catastrophe and reserve outcomes stay controlled, and Employee Benefits shows early stabilization.</w:t>
      </w:r>
    </w:p>
    <w:p>
      <w:pPr>
        <w:pStyle w:val="BodyText"/>
      </w:pPr>
      <w:r>
        <w:t xml:space="preserve">The principal risk is that investors encounter several negatives at once: commercial-softening pressure, elevated catastrophe losses, adverse casualty development, and continued Benefits-margin erosion. With Hartford Funds moving to discontinued operations and a one-time tax benefit entering GAAP earnings, management’s explanation of the</w:t>
      </w:r>
      <w:r>
        <w:t xml:space="preserve"> </w:t>
      </w:r>
      <w:r>
        <w:rPr>
          <w:b/>
          <w:bCs/>
        </w:rPr>
        <w:t xml:space="preserve">post-transaction recurring earnings base</w:t>
      </w:r>
      <w:r>
        <w:t xml:space="preserve"> </w:t>
      </w:r>
      <w:r>
        <w:t xml:space="preserve">may be nearly as important as the quarter itself.</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ir.thehartford.com/financials/quarterly-results/default.aspx?utm_source=openai" TargetMode="External" /><Relationship Type="http://schemas.openxmlformats.org/officeDocument/2006/relationships/hyperlink" Id="rId19" Target="https://ir.thehartford.com/financials/sec-filings/default.aspx?utm_source=openai" TargetMode="External" /><Relationship Type="http://schemas.openxmlformats.org/officeDocument/2006/relationships/hyperlink" Id="rId11" Target="https://ir.thehartford.com/news/news-details/2025/The-Hartford-Announces-Second-Quarter-2025-Financial-Results/default.aspx" TargetMode="External" /><Relationship Type="http://schemas.openxmlformats.org/officeDocument/2006/relationships/hyperlink" Id="rId9" Target="https://ir.thehartford.com/overview/default.aspx?utm_source=openai" TargetMode="External" /></Relationships>
</file>

<file path=word/_rels/footnotes.xml.rels><?xml version="1.0" encoding="UTF-8"?><Relationships xmlns="http://schemas.openxmlformats.org/package/2006/relationships"><Relationship Type="http://schemas.openxmlformats.org/officeDocument/2006/relationships/hyperlink" Id="rId10" Target="https://ir.thehartford.com/financials/quarterly-results/default.aspx?utm_source=openai" TargetMode="External" /><Relationship Type="http://schemas.openxmlformats.org/officeDocument/2006/relationships/hyperlink" Id="rId19" Target="https://ir.thehartford.com/financials/sec-filings/default.aspx?utm_source=openai" TargetMode="External" /><Relationship Type="http://schemas.openxmlformats.org/officeDocument/2006/relationships/hyperlink" Id="rId11" Target="https://ir.thehartford.com/news/news-details/2025/The-Hartford-Announces-Second-Quarter-2025-Financial-Results/default.aspx" TargetMode="External" /><Relationship Type="http://schemas.openxmlformats.org/officeDocument/2006/relationships/hyperlink" Id="rId9" Target="https://ir.thehartford.com/overview/default.aspx?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2026-07-23T01:15:14Z</dcterms:created>
  <dcterms:modified xsi:type="dcterms:W3CDTF">2026-07-23T01:15:14Z</dcterms:modified>
</cp:coreProperties>
</file>

<file path=docProps/custom.xml><?xml version="1.0" encoding="utf-8"?>
<Properties xmlns="http://schemas.openxmlformats.org/officeDocument/2006/custom-properties" xmlns:vt="http://schemas.openxmlformats.org/officeDocument/2006/docPropsVTypes"/>
</file>