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Hartford Financial Services Group (HIG)</w:t>
      </w:r>
    </w:p>
    <w:p>
      <w:r>
        <w:rPr>
          <w:rFonts w:ascii="Calibri" w:hAnsi="Calibri"/>
          <w:i/>
          <w:color w:val="525866"/>
          <w:sz w:val="22"/>
        </w:rPr>
        <w:t>Earnings Preview  |  Q2 2026  |  Earnings Date: July 24, 2026  |  Prepared: July 22,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Setup is mixed-to-slightly-cautious — consensus has been trimmed since the Q1 miss and the bar is now more achievable, but the single biggest swing factor is whether </w:t>
      </w:r>
      <w:r>
        <w:rPr>
          <w:rFonts w:ascii="Calibri" w:hAnsi="Calibri"/>
          <w:b/>
          <w:color w:val="525866"/>
          <w:sz w:val="22"/>
        </w:rPr>
        <w:t>Group Benefits disability loss ratios stabilize</w:t>
      </w:r>
      <w:r>
        <w:rPr>
          <w:rFonts w:ascii="Calibri" w:hAnsi="Calibri"/>
          <w:color w:val="525866"/>
          <w:sz w:val="22"/>
        </w:rPr>
        <w:t xml:space="preserve"> after the Q1 deterioration, with Business Insurance written premium growth and NII as secondary swing factors.</w:t>
      </w:r>
    </w:p>
    <w:p>
      <w:r>
        <w:rPr>
          <w:rFonts w:ascii="Calibri" w:hAnsi="Calibri"/>
          <w:color w:val="525866"/>
          <w:sz w:val="22"/>
        </w:rPr>
        <w:t xml:space="preserve">Heading into the Q2 2026 print, the consensus bar has been reset lower following HIG's Q1 miss, with operating EPS consensus at $3.10 versus the $2.91 Q1 actual — a more achievable hurdle given the seasonal tailwinds that typically benefit Q2. </w:t>
      </w:r>
      <w:r>
        <w:rPr>
          <w:rFonts w:ascii="Calibri" w:hAnsi="Calibri"/>
          <w:b/>
          <w:color w:val="525866"/>
          <w:sz w:val="22"/>
        </w:rPr>
        <w:t>Management's tone on the Q1 call was constructive</w:t>
      </w:r>
      <w:r>
        <w:rPr>
          <w:rFonts w:ascii="Calibri" w:hAnsi="Calibri"/>
          <w:color w:val="525866"/>
          <w:sz w:val="22"/>
        </w:rPr>
        <w:t xml:space="preserve">: CEO Chris Swift described results as "strong, building on continued momentum," reaffirmed expense ratio improvement targets through 2027, and guided for $450M in Q2 share repurchases — all signals of confidence. Estimate revisions have been modestly negative since the Q1 print (Q2 EPS consensus slipped from $3.30 to $3.10), reflecting lingering concern about </w:t>
      </w:r>
      <w:r>
        <w:rPr>
          <w:rFonts w:ascii="Calibri" w:hAnsi="Calibri"/>
          <w:b/>
          <w:color w:val="525866"/>
          <w:sz w:val="22"/>
        </w:rPr>
        <w:t>Group Benefits disability trends and LP income volatility</w:t>
      </w:r>
      <w:r>
        <w:rPr>
          <w:rFonts w:ascii="Calibri" w:hAnsi="Calibri"/>
          <w:color w:val="525866"/>
          <w:sz w:val="22"/>
        </w:rPr>
        <w:t xml:space="preserve">, but the gap is not wide enough to represent a structural miss risk. The stock has underperformed both the insurance ETF (KIE, +7.7%) and the S&amp;P 500 (+5.5%) since the Q1 earnings date, trading down roughly 1% on an indexed basis, suggesting the market has not priced in a beat and sentiment remains cautious. The key wildcard is </w:t>
      </w:r>
      <w:r>
        <w:rPr>
          <w:rFonts w:ascii="Calibri" w:hAnsi="Calibri"/>
          <w:b/>
          <w:color w:val="525866"/>
          <w:sz w:val="22"/>
        </w:rPr>
        <w:t>catastrophe losses</w:t>
      </w:r>
      <w:r>
        <w:rPr>
          <w:rFonts w:ascii="Calibri" w:hAnsi="Calibri"/>
          <w:color w:val="525866"/>
          <w:sz w:val="22"/>
        </w:rPr>
        <w:t>: Q1 cats ran ~$30M above expectations, and with the aggregate reinsurance treaty at $204M of a $750M threshold through Q1, any elevated Q2 cat activity could pressure the combined ratio and overshadow otherwise solid underwriting results.</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after Q1 reset — </w:t>
      </w:r>
      <w:r>
        <w:rPr>
          <w:rFonts w:ascii="Calibri" w:hAnsi="Calibri"/>
          <w:b/>
          <w:color w:val="525866"/>
          <w:sz w:val="22"/>
        </w:rPr>
        <w:t>Business Insurance written premium growth (~$4.0B, +5.8% YoY) and the underlying combined ratio (~88.4%) are the primary swing factors</w:t>
      </w:r>
      <w:r>
        <w:rPr>
          <w:rFonts w:ascii="Calibri" w:hAnsi="Calibri"/>
          <w:color w:val="525866"/>
          <w:sz w:val="22"/>
        </w:rPr>
        <w:t>, while Group Benefits margin recovery from Q1's 6.9% is the key watch item for sentiment.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w:t>
            </w:r>
          </w:p>
        </w:tc>
        <w:tc>
          <w:tcPr>
            <w:tcW w:type="dxa" w:w="1234"/>
          </w:tcPr>
          <w:p>
            <w:r>
              <w:rPr>
                <w:rFonts w:ascii="Calibri" w:hAnsi="Calibri"/>
                <w:sz w:val="22"/>
              </w:rPr>
              <w:t>$2.91</w:t>
            </w:r>
          </w:p>
        </w:tc>
        <w:tc>
          <w:tcPr>
            <w:tcW w:type="dxa" w:w="1234"/>
          </w:tcPr>
          <w:p>
            <w:r>
              <w:rPr>
                <w:rFonts w:ascii="Calibri" w:hAnsi="Calibri"/>
                <w:sz w:val="22"/>
              </w:rPr>
              <w:t>$3.41</w:t>
            </w:r>
          </w:p>
        </w:tc>
        <w:tc>
          <w:tcPr>
            <w:tcW w:type="dxa" w:w="1234"/>
          </w:tcPr>
          <w:p>
            <w:r>
              <w:rPr>
                <w:rFonts w:ascii="Calibri" w:hAnsi="Calibri"/>
                <w:sz w:val="22"/>
              </w:rPr>
              <w:t>$3.10</w:t>
            </w:r>
          </w:p>
        </w:tc>
        <w:tc>
          <w:tcPr>
            <w:tcW w:type="dxa" w:w="1234"/>
          </w:tcPr>
          <w:p>
            <w:r>
              <w:rPr>
                <w:rFonts w:ascii="Calibri" w:hAnsi="Calibri"/>
                <w:sz w:val="22"/>
              </w:rPr>
              <w:t>-9.1%</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Written Premium — Business Insurance ($B)</w:t>
            </w:r>
          </w:p>
        </w:tc>
        <w:tc>
          <w:tcPr>
            <w:tcW w:type="dxa" w:w="1234"/>
          </w:tcPr>
          <w:p>
            <w:r>
              <w:rPr>
                <w:rFonts w:ascii="Calibri" w:hAnsi="Calibri"/>
                <w:sz w:val="22"/>
              </w:rPr>
              <w:t>$3.90B</w:t>
            </w:r>
          </w:p>
        </w:tc>
        <w:tc>
          <w:tcPr>
            <w:tcW w:type="dxa" w:w="1234"/>
          </w:tcPr>
          <w:p>
            <w:r>
              <w:rPr>
                <w:rFonts w:ascii="Calibri" w:hAnsi="Calibri"/>
                <w:sz w:val="22"/>
              </w:rPr>
              <w:t>$3.82B</w:t>
            </w:r>
          </w:p>
        </w:tc>
        <w:tc>
          <w:tcPr>
            <w:tcW w:type="dxa" w:w="1234"/>
          </w:tcPr>
          <w:p>
            <w:r>
              <w:rPr>
                <w:rFonts w:ascii="Calibri" w:hAnsi="Calibri"/>
                <w:sz w:val="22"/>
              </w:rPr>
              <w:t>$4.02B</w:t>
            </w:r>
          </w:p>
        </w:tc>
        <w:tc>
          <w:tcPr>
            <w:tcW w:type="dxa" w:w="1234"/>
          </w:tcPr>
          <w:p>
            <w:r>
              <w:rPr>
                <w:rFonts w:ascii="Calibri" w:hAnsi="Calibri"/>
                <w:sz w:val="22"/>
              </w:rPr>
              <w:t>+5.8%</w:t>
            </w:r>
          </w:p>
        </w:tc>
        <w:tc>
          <w:tcPr>
            <w:tcW w:type="dxa" w:w="1234"/>
          </w:tcPr>
          <w:p>
            <w:r>
              <w:rPr>
                <w:rFonts w:ascii="Calibri" w:hAnsi="Calibri"/>
                <w:sz w:val="22"/>
              </w:rPr>
              <w:t>~10% property premium growth for FY2026; pricing ex-WC ~6%</w:t>
            </w:r>
          </w:p>
        </w:tc>
        <w:tc>
          <w:tcPr>
            <w:tcW w:type="dxa" w:w="1234"/>
          </w:tcPr>
          <w:p>
            <w:r>
              <w:rPr>
                <w:rFonts w:ascii="Calibri" w:hAnsi="Calibri"/>
                <w:sz w:val="22"/>
              </w:rPr>
              <w:t>Tracking above implied run-rate</w:t>
            </w:r>
          </w:p>
        </w:tc>
      </w:tr>
      <w:tr>
        <w:tc>
          <w:tcPr>
            <w:tcW w:type="dxa" w:w="1234"/>
          </w:tcPr>
          <w:p>
            <w:r>
              <w:rPr>
                <w:rFonts w:ascii="Calibri" w:hAnsi="Calibri"/>
                <w:sz w:val="22"/>
              </w:rPr>
              <w:t>Written Premium — Personal Lines ($B)</w:t>
            </w:r>
          </w:p>
        </w:tc>
        <w:tc>
          <w:tcPr>
            <w:tcW w:type="dxa" w:w="1234"/>
          </w:tcPr>
          <w:p>
            <w:r>
              <w:rPr>
                <w:rFonts w:ascii="Calibri" w:hAnsi="Calibri"/>
                <w:sz w:val="22"/>
              </w:rPr>
              <w:t>$0.86B</w:t>
            </w:r>
          </w:p>
        </w:tc>
        <w:tc>
          <w:tcPr>
            <w:tcW w:type="dxa" w:w="1234"/>
          </w:tcPr>
          <w:p>
            <w:r>
              <w:rPr>
                <w:rFonts w:ascii="Calibri" w:hAnsi="Calibri"/>
                <w:sz w:val="22"/>
              </w:rPr>
              <w:t>$0.98B</w:t>
            </w:r>
          </w:p>
        </w:tc>
        <w:tc>
          <w:tcPr>
            <w:tcW w:type="dxa" w:w="1234"/>
          </w:tcPr>
          <w:p>
            <w:r>
              <w:rPr>
                <w:rFonts w:ascii="Calibri" w:hAnsi="Calibri"/>
                <w:sz w:val="22"/>
              </w:rPr>
              <w:t>$0.95B</w:t>
            </w:r>
          </w:p>
        </w:tc>
        <w:tc>
          <w:tcPr>
            <w:tcW w:type="dxa" w:w="1234"/>
          </w:tcPr>
          <w:p>
            <w:r>
              <w:rPr>
                <w:rFonts w:ascii="Calibri" w:hAnsi="Calibri"/>
                <w:sz w:val="22"/>
              </w:rPr>
              <w:t>-3.1%</w:t>
            </w:r>
          </w:p>
        </w:tc>
        <w:tc>
          <w:tcPr>
            <w:tcW w:type="dxa" w:w="1234"/>
          </w:tcPr>
          <w:p>
            <w:r>
              <w:rPr>
                <w:rFonts w:ascii="Calibri" w:hAnsi="Calibri"/>
                <w:sz w:val="22"/>
              </w:rPr>
              <w:t>Prevail rollout to 30 states by early 2027; growth pivot underway</w:t>
            </w:r>
          </w:p>
        </w:tc>
        <w:tc>
          <w:tcPr>
            <w:tcW w:type="dxa" w:w="1234"/>
          </w:tcPr>
          <w:p>
            <w:r>
              <w:rPr>
                <w:rFonts w:ascii="Calibri" w:hAnsi="Calibri"/>
                <w:sz w:val="22"/>
              </w:rPr>
              <w:t>N/A — no specific premium guidance</w:t>
            </w:r>
          </w:p>
        </w:tc>
      </w:tr>
      <w:tr>
        <w:tc>
          <w:tcPr>
            <w:tcW w:type="dxa" w:w="1234"/>
          </w:tcPr>
          <w:p>
            <w:r>
              <w:rPr>
                <w:rFonts w:ascii="Calibri" w:hAnsi="Calibri"/>
                <w:sz w:val="22"/>
              </w:rPr>
              <w:t>Underlying Combined Ratio — Business Insurance (%)</w:t>
            </w:r>
          </w:p>
        </w:tc>
        <w:tc>
          <w:tcPr>
            <w:tcW w:type="dxa" w:w="1234"/>
          </w:tcPr>
          <w:p>
            <w:r>
              <w:rPr>
                <w:rFonts w:ascii="Calibri" w:hAnsi="Calibri"/>
                <w:sz w:val="22"/>
              </w:rPr>
              <w:t>89.2%</w:t>
            </w:r>
          </w:p>
        </w:tc>
        <w:tc>
          <w:tcPr>
            <w:tcW w:type="dxa" w:w="1234"/>
          </w:tcPr>
          <w:p>
            <w:r>
              <w:rPr>
                <w:rFonts w:ascii="Calibri" w:hAnsi="Calibri"/>
                <w:sz w:val="22"/>
              </w:rPr>
              <w:t>88.0%</w:t>
            </w:r>
          </w:p>
        </w:tc>
        <w:tc>
          <w:tcPr>
            <w:tcW w:type="dxa" w:w="1234"/>
          </w:tcPr>
          <w:p>
            <w:r>
              <w:rPr>
                <w:rFonts w:ascii="Calibri" w:hAnsi="Calibri"/>
                <w:sz w:val="22"/>
              </w:rPr>
              <w:t>88.4%</w:t>
            </w:r>
          </w:p>
        </w:tc>
        <w:tc>
          <w:tcPr>
            <w:tcW w:type="dxa" w:w="1234"/>
          </w:tcPr>
          <w:p>
            <w:r>
              <w:rPr>
                <w:rFonts w:ascii="Calibri" w:hAnsi="Calibri"/>
                <w:sz w:val="22"/>
              </w:rPr>
              <w:t>+0.4 pts</w:t>
            </w:r>
          </w:p>
        </w:tc>
        <w:tc>
          <w:tcPr>
            <w:tcW w:type="dxa" w:w="1234"/>
          </w:tcPr>
          <w:p>
            <w:r>
              <w:rPr>
                <w:rFonts w:ascii="Calibri" w:hAnsi="Calibri"/>
                <w:sz w:val="22"/>
              </w:rPr>
              <w:t>Expense ratio target below 30% by end of 2027</w:t>
            </w:r>
          </w:p>
        </w:tc>
        <w:tc>
          <w:tcPr>
            <w:tcW w:type="dxa" w:w="1234"/>
          </w:tcPr>
          <w:p>
            <w:r>
              <w:rPr>
                <w:rFonts w:ascii="Calibri" w:hAnsi="Calibri"/>
                <w:sz w:val="22"/>
              </w:rPr>
              <w:t>N/A — no specific UCR guidance</w:t>
            </w:r>
          </w:p>
        </w:tc>
      </w:tr>
      <w:tr>
        <w:tc>
          <w:tcPr>
            <w:tcW w:type="dxa" w:w="1234"/>
          </w:tcPr>
          <w:p>
            <w:r>
              <w:rPr>
                <w:rFonts w:ascii="Calibri" w:hAnsi="Calibri"/>
                <w:sz w:val="22"/>
              </w:rPr>
              <w:t>Underlying Combined Ratio — Personal Lines (%)</w:t>
            </w:r>
          </w:p>
        </w:tc>
        <w:tc>
          <w:tcPr>
            <w:tcW w:type="dxa" w:w="1234"/>
          </w:tcPr>
          <w:p>
            <w:r>
              <w:rPr>
                <w:rFonts w:ascii="Calibri" w:hAnsi="Calibri"/>
                <w:sz w:val="22"/>
              </w:rPr>
              <w:t>85.0%</w:t>
            </w:r>
          </w:p>
        </w:tc>
        <w:tc>
          <w:tcPr>
            <w:tcW w:type="dxa" w:w="1234"/>
          </w:tcPr>
          <w:p>
            <w:r>
              <w:rPr>
                <w:rFonts w:ascii="Calibri" w:hAnsi="Calibri"/>
                <w:sz w:val="22"/>
              </w:rPr>
              <w:t>88.0%</w:t>
            </w:r>
          </w:p>
        </w:tc>
        <w:tc>
          <w:tcPr>
            <w:tcW w:type="dxa" w:w="1234"/>
          </w:tcPr>
          <w:p>
            <w:r>
              <w:rPr>
                <w:rFonts w:ascii="Calibri" w:hAnsi="Calibri"/>
                <w:sz w:val="22"/>
              </w:rPr>
              <w:t>86.5%</w:t>
            </w:r>
          </w:p>
        </w:tc>
        <w:tc>
          <w:tcPr>
            <w:tcW w:type="dxa" w:w="1234"/>
          </w:tcPr>
          <w:p>
            <w:r>
              <w:rPr>
                <w:rFonts w:ascii="Calibri" w:hAnsi="Calibri"/>
                <w:sz w:val="22"/>
              </w:rPr>
              <w:t>-1.5 pts</w:t>
            </w:r>
          </w:p>
        </w:tc>
        <w:tc>
          <w:tcPr>
            <w:tcW w:type="dxa" w:w="1234"/>
          </w:tcPr>
          <w:p>
            <w:r>
              <w:rPr>
                <w:rFonts w:ascii="Calibri" w:hAnsi="Calibri"/>
                <w:sz w:val="22"/>
              </w:rPr>
              <w:t>PI expense ratio target below 25% by end of 2027</w:t>
            </w:r>
          </w:p>
        </w:tc>
        <w:tc>
          <w:tcPr>
            <w:tcW w:type="dxa" w:w="1234"/>
          </w:tcPr>
          <w:p>
            <w:r>
              <w:rPr>
                <w:rFonts w:ascii="Calibri" w:hAnsi="Calibri"/>
                <w:sz w:val="22"/>
              </w:rPr>
              <w:t>N/A — no specific UCR guidance</w:t>
            </w:r>
          </w:p>
        </w:tc>
      </w:tr>
      <w:tr>
        <w:tc>
          <w:tcPr>
            <w:tcW w:type="dxa" w:w="1234"/>
          </w:tcPr>
          <w:p>
            <w:r>
              <w:rPr>
                <w:rFonts w:ascii="Calibri" w:hAnsi="Calibri"/>
                <w:sz w:val="22"/>
              </w:rPr>
              <w:t>Net Investment Income ($M)</w:t>
            </w:r>
          </w:p>
        </w:tc>
        <w:tc>
          <w:tcPr>
            <w:tcW w:type="dxa" w:w="1234"/>
          </w:tcPr>
          <w:p>
            <w:r>
              <w:rPr>
                <w:rFonts w:ascii="Calibri" w:hAnsi="Calibri"/>
                <w:sz w:val="22"/>
              </w:rPr>
              <w:t>$734M</w:t>
            </w:r>
          </w:p>
        </w:tc>
        <w:tc>
          <w:tcPr>
            <w:tcW w:type="dxa" w:w="1234"/>
          </w:tcPr>
          <w:p>
            <w:r>
              <w:rPr>
                <w:rFonts w:ascii="Calibri" w:hAnsi="Calibri"/>
                <w:sz w:val="22"/>
              </w:rPr>
              <w:t>$658M</w:t>
            </w:r>
          </w:p>
        </w:tc>
        <w:tc>
          <w:tcPr>
            <w:tcW w:type="dxa" w:w="1234"/>
          </w:tcPr>
          <w:p>
            <w:r>
              <w:rPr>
                <w:rFonts w:ascii="Calibri" w:hAnsi="Calibri"/>
                <w:sz w:val="22"/>
              </w:rPr>
              <w:t>$729M</w:t>
            </w:r>
          </w:p>
        </w:tc>
        <w:tc>
          <w:tcPr>
            <w:tcW w:type="dxa" w:w="1234"/>
          </w:tcPr>
          <w:p>
            <w:r>
              <w:rPr>
                <w:rFonts w:ascii="Calibri" w:hAnsi="Calibri"/>
                <w:sz w:val="22"/>
              </w:rPr>
              <w:t>+10.8%</w:t>
            </w:r>
          </w:p>
        </w:tc>
        <w:tc>
          <w:tcPr>
            <w:tcW w:type="dxa" w:w="1234"/>
          </w:tcPr>
          <w:p>
            <w:r>
              <w:rPr>
                <w:rFonts w:ascii="Calibri" w:hAnsi="Calibri"/>
                <w:sz w:val="22"/>
              </w:rPr>
              <w:t>FY2026 NII to increase vs. 2025; portfolio yields generally in line with 2025</w:t>
            </w:r>
          </w:p>
        </w:tc>
        <w:tc>
          <w:tcPr>
            <w:tcW w:type="dxa" w:w="1234"/>
          </w:tcPr>
          <w:p>
            <w:r>
              <w:rPr>
                <w:rFonts w:ascii="Calibri" w:hAnsi="Calibri"/>
                <w:sz w:val="22"/>
              </w:rPr>
              <w:t>Slightly below FY implied run-rate ($3.02B / 4 = ~$755M)</w:t>
            </w:r>
          </w:p>
        </w:tc>
      </w:tr>
      <w:tr>
        <w:tc>
          <w:tcPr>
            <w:tcW w:type="dxa" w:w="1234"/>
          </w:tcPr>
          <w:p>
            <w:r>
              <w:rPr>
                <w:rFonts w:ascii="Calibri" w:hAnsi="Calibri"/>
                <w:sz w:val="22"/>
              </w:rPr>
              <w:t>Core Earnings Margin — Group Benefits (%)</w:t>
            </w:r>
          </w:p>
        </w:tc>
        <w:tc>
          <w:tcPr>
            <w:tcW w:type="dxa" w:w="1234"/>
          </w:tcPr>
          <w:p>
            <w:r>
              <w:rPr>
                <w:rFonts w:ascii="Calibri" w:hAnsi="Calibri"/>
                <w:sz w:val="22"/>
              </w:rPr>
              <w:t>6.9%</w:t>
            </w:r>
          </w:p>
        </w:tc>
        <w:tc>
          <w:tcPr>
            <w:tcW w:type="dxa" w:w="1234"/>
          </w:tcPr>
          <w:p>
            <w:r>
              <w:rPr>
                <w:rFonts w:ascii="Calibri" w:hAnsi="Calibri"/>
                <w:sz w:val="22"/>
              </w:rPr>
              <w:t>9.2%</w:t>
            </w:r>
          </w:p>
        </w:tc>
        <w:tc>
          <w:tcPr>
            <w:tcW w:type="dxa" w:w="1234"/>
          </w:tcPr>
          <w:p>
            <w:r>
              <w:rPr>
                <w:rFonts w:ascii="Calibri" w:hAnsi="Calibri"/>
                <w:sz w:val="22"/>
              </w:rPr>
              <w:t>8.1%</w:t>
            </w:r>
          </w:p>
        </w:tc>
        <w:tc>
          <w:tcPr>
            <w:tcW w:type="dxa" w:w="1234"/>
          </w:tcPr>
          <w:p>
            <w:r>
              <w:rPr>
                <w:rFonts w:ascii="Calibri" w:hAnsi="Calibri"/>
                <w:sz w:val="22"/>
              </w:rPr>
              <w:t>-1.1 pts</w:t>
            </w:r>
          </w:p>
        </w:tc>
        <w:tc>
          <w:tcPr>
            <w:tcW w:type="dxa" w:w="1234"/>
          </w:tcPr>
          <w:p>
            <w:r>
              <w:rPr>
                <w:rFonts w:ascii="Calibri" w:hAnsi="Calibri"/>
                <w:sz w:val="22"/>
              </w:rPr>
              <w:t>EB expense ratio target ~25% by end of 2027</w:t>
            </w:r>
          </w:p>
        </w:tc>
        <w:tc>
          <w:tcPr>
            <w:tcW w:type="dxa" w:w="1234"/>
          </w:tcPr>
          <w:p>
            <w:r>
              <w:rPr>
                <w:rFonts w:ascii="Calibri" w:hAnsi="Calibri"/>
                <w:sz w:val="22"/>
              </w:rPr>
              <w:t>N/A — no specific margin guidance</w:t>
            </w:r>
          </w:p>
        </w:tc>
      </w:tr>
      <w:tr>
        <w:tc>
          <w:tcPr>
            <w:tcW w:type="dxa" w:w="1234"/>
          </w:tcPr>
          <w:p>
            <w:r>
              <w:rPr>
                <w:rFonts w:ascii="Calibri" w:hAnsi="Calibri"/>
                <w:sz w:val="22"/>
              </w:rPr>
              <w:t>Earned Premiums — Group Benefits ($B)</w:t>
            </w:r>
          </w:p>
        </w:tc>
        <w:tc>
          <w:tcPr>
            <w:tcW w:type="dxa" w:w="1234"/>
          </w:tcPr>
          <w:p>
            <w:r>
              <w:rPr>
                <w:rFonts w:ascii="Calibri" w:hAnsi="Calibri"/>
                <w:sz w:val="22"/>
              </w:rPr>
              <w:t>$1.67B</w:t>
            </w:r>
          </w:p>
        </w:tc>
        <w:tc>
          <w:tcPr>
            <w:tcW w:type="dxa" w:w="1234"/>
          </w:tcPr>
          <w:p>
            <w:r>
              <w:rPr>
                <w:rFonts w:ascii="Calibri" w:hAnsi="Calibri"/>
                <w:sz w:val="22"/>
              </w:rPr>
              <w:t>$1.61B</w:t>
            </w:r>
          </w:p>
        </w:tc>
        <w:tc>
          <w:tcPr>
            <w:tcW w:type="dxa" w:w="1234"/>
          </w:tcPr>
          <w:p>
            <w:r>
              <w:rPr>
                <w:rFonts w:ascii="Calibri" w:hAnsi="Calibri"/>
                <w:sz w:val="22"/>
              </w:rPr>
              <w:t>$1.64B</w:t>
            </w:r>
          </w:p>
        </w:tc>
        <w:tc>
          <w:tcPr>
            <w:tcW w:type="dxa" w:w="1234"/>
          </w:tcPr>
          <w:p>
            <w:r>
              <w:rPr>
                <w:rFonts w:ascii="Calibri" w:hAnsi="Calibri"/>
                <w:sz w:val="22"/>
              </w:rPr>
              <w:t>+1.9%</w:t>
            </w:r>
          </w:p>
        </w:tc>
        <w:tc>
          <w:tcPr>
            <w:tcW w:type="dxa" w:w="1234"/>
          </w:tcPr>
          <w:p>
            <w:r>
              <w:rPr>
                <w:rFonts w:ascii="Calibri" w:hAnsi="Calibri"/>
                <w:sz w:val="22"/>
              </w:rPr>
              <w:t>Strong sales growth (+53% in Q1); persistency in low 90s</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22, 2026.</w:t>
      </w:r>
    </w:p>
    <w:p>
      <w:pPr>
        <w:pStyle w:val="Heading3"/>
      </w:pPr>
      <w:r>
        <w:rPr>
          <w:rFonts w:ascii="Calibri" w:hAnsi="Calibri"/>
          <w:b/>
          <w:color w:val="3B4259"/>
          <w:sz w:val="24"/>
        </w:rPr>
        <w:t>Table 2 — Beat/Miss History (Last 8 Quarters)</w:t>
      </w:r>
    </w:p>
    <w:p>
      <w:r>
        <w:rPr>
          <w:rFonts w:ascii="Calibri" w:hAnsi="Calibri"/>
          <w:b/>
          <w:color w:val="525866"/>
          <w:sz w:val="22"/>
        </w:rPr>
        <w:t>Top KPI 1: Operating EPS ($) | Top KPI 2: Written Premium — Business Insurance ($B)</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$2.91</w:t>
            </w:r>
          </w:p>
        </w:tc>
        <w:tc>
          <w:tcPr>
            <w:tcW w:type="dxa" w:w="1440"/>
          </w:tcPr>
          <w:p>
            <w:r>
              <w:rPr>
                <w:rFonts w:ascii="Calibri" w:hAnsi="Calibri"/>
                <w:sz w:val="22"/>
              </w:rPr>
              <w:t>$3.38</w:t>
            </w:r>
          </w:p>
        </w:tc>
        <w:tc>
          <w:tcPr>
            <w:tcW w:type="dxa" w:w="1440"/>
          </w:tcPr>
          <w:p>
            <w:r>
              <w:rPr>
                <w:rFonts w:ascii="Calibri" w:hAnsi="Calibri"/>
                <w:b/>
                <w:color w:val="E5484D"/>
                <w:sz w:val="22"/>
              </w:rPr>
              <w:t>-13.9%</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BI Written Premium</w:t>
            </w:r>
          </w:p>
        </w:tc>
        <w:tc>
          <w:tcPr>
            <w:tcW w:type="dxa" w:w="1440"/>
          </w:tcPr>
          <w:p>
            <w:r>
              <w:rPr>
                <w:rFonts w:ascii="Calibri" w:hAnsi="Calibri"/>
                <w:sz w:val="22"/>
              </w:rPr>
              <w:t>$3.90B</w:t>
            </w:r>
          </w:p>
        </w:tc>
        <w:tc>
          <w:tcPr>
            <w:tcW w:type="dxa" w:w="1440"/>
          </w:tcPr>
          <w:p>
            <w:r>
              <w:rPr>
                <w:rFonts w:ascii="Calibri" w:hAnsi="Calibri"/>
                <w:sz w:val="22"/>
              </w:rPr>
              <w:t>$3.91B</w:t>
            </w:r>
          </w:p>
        </w:tc>
        <w:tc>
          <w:tcPr>
            <w:tcW w:type="dxa" w:w="1440"/>
          </w:tcPr>
          <w:p>
            <w:r>
              <w:rPr>
                <w:rFonts w:ascii="Calibri" w:hAnsi="Calibri"/>
                <w:sz w:val="22"/>
              </w:rPr>
              <w:t>-0.2%</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$4.06</w:t>
            </w:r>
          </w:p>
        </w:tc>
        <w:tc>
          <w:tcPr>
            <w:tcW w:type="dxa" w:w="1440"/>
          </w:tcPr>
          <w:p>
            <w:r>
              <w:rPr>
                <w:rFonts w:ascii="Calibri" w:hAnsi="Calibri"/>
                <w:sz w:val="22"/>
              </w:rPr>
              <w:t>$3.21</w:t>
            </w:r>
          </w:p>
        </w:tc>
        <w:tc>
          <w:tcPr>
            <w:tcW w:type="dxa" w:w="1440"/>
          </w:tcPr>
          <w:p>
            <w:r>
              <w:rPr>
                <w:rFonts w:ascii="Calibri" w:hAnsi="Calibri"/>
                <w:b/>
                <w:color w:val="30A46C"/>
                <w:sz w:val="22"/>
              </w:rPr>
              <w:t>+26.5%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BI Written Premium</w:t>
            </w:r>
          </w:p>
        </w:tc>
        <w:tc>
          <w:tcPr>
            <w:tcW w:type="dxa" w:w="1440"/>
          </w:tcPr>
          <w:p>
            <w:r>
              <w:rPr>
                <w:rFonts w:ascii="Calibri" w:hAnsi="Calibri"/>
                <w:sz w:val="22"/>
              </w:rPr>
              <w:t>$3.38B</w:t>
            </w:r>
          </w:p>
        </w:tc>
        <w:tc>
          <w:tcPr>
            <w:tcW w:type="dxa" w:w="1440"/>
          </w:tcPr>
          <w:p>
            <w:r>
              <w:rPr>
                <w:rFonts w:ascii="Calibri" w:hAnsi="Calibri"/>
                <w:sz w:val="22"/>
              </w:rPr>
              <w:t>$3.41B</w:t>
            </w:r>
          </w:p>
        </w:tc>
        <w:tc>
          <w:tcPr>
            <w:tcW w:type="dxa" w:w="1440"/>
          </w:tcPr>
          <w:p>
            <w:r>
              <w:rPr>
                <w:rFonts w:ascii="Calibri" w:hAnsi="Calibri"/>
                <w:sz w:val="22"/>
              </w:rPr>
              <w:t>-0.9%</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$3.78</w:t>
            </w:r>
          </w:p>
        </w:tc>
        <w:tc>
          <w:tcPr>
            <w:tcW w:type="dxa" w:w="1440"/>
          </w:tcPr>
          <w:p>
            <w:r>
              <w:rPr>
                <w:rFonts w:ascii="Calibri" w:hAnsi="Calibri"/>
                <w:sz w:val="22"/>
              </w:rPr>
              <w:t>$3.27</w:t>
            </w:r>
          </w:p>
        </w:tc>
        <w:tc>
          <w:tcPr>
            <w:tcW w:type="dxa" w:w="1440"/>
          </w:tcPr>
          <w:p>
            <w:r>
              <w:rPr>
                <w:rFonts w:ascii="Calibri" w:hAnsi="Calibri"/>
                <w:b/>
                <w:color w:val="30A46C"/>
                <w:sz w:val="22"/>
              </w:rPr>
              <w:t>+15.6%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BI Written Premium</w:t>
            </w:r>
          </w:p>
        </w:tc>
        <w:tc>
          <w:tcPr>
            <w:tcW w:type="dxa" w:w="1440"/>
          </w:tcPr>
          <w:p>
            <w:r>
              <w:rPr>
                <w:rFonts w:ascii="Calibri" w:hAnsi="Calibri"/>
                <w:sz w:val="22"/>
              </w:rPr>
              <w:t>$3.57B</w:t>
            </w:r>
          </w:p>
        </w:tc>
        <w:tc>
          <w:tcPr>
            <w:tcW w:type="dxa" w:w="1440"/>
          </w:tcPr>
          <w:p>
            <w:r>
              <w:rPr>
                <w:rFonts w:ascii="Calibri" w:hAnsi="Calibri"/>
                <w:sz w:val="22"/>
              </w:rPr>
              <w:t>$3.52B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$3.41</w:t>
            </w:r>
          </w:p>
        </w:tc>
        <w:tc>
          <w:tcPr>
            <w:tcW w:type="dxa" w:w="1440"/>
          </w:tcPr>
          <w:p>
            <w:r>
              <w:rPr>
                <w:rFonts w:ascii="Calibri" w:hAnsi="Calibri"/>
                <w:sz w:val="22"/>
              </w:rPr>
              <w:t>$2.84</w:t>
            </w:r>
          </w:p>
        </w:tc>
        <w:tc>
          <w:tcPr>
            <w:tcW w:type="dxa" w:w="1440"/>
          </w:tcPr>
          <w:p>
            <w:r>
              <w:rPr>
                <w:rFonts w:ascii="Calibri" w:hAnsi="Calibri"/>
                <w:b/>
                <w:color w:val="30A46C"/>
                <w:sz w:val="22"/>
              </w:rPr>
              <w:t>+20.1%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BI Written Premium</w:t>
            </w:r>
          </w:p>
        </w:tc>
        <w:tc>
          <w:tcPr>
            <w:tcW w:type="dxa" w:w="1440"/>
          </w:tcPr>
          <w:p>
            <w:r>
              <w:rPr>
                <w:rFonts w:ascii="Calibri" w:hAnsi="Calibri"/>
                <w:sz w:val="22"/>
              </w:rPr>
              <w:t>$3.82B</w:t>
            </w:r>
          </w:p>
        </w:tc>
        <w:tc>
          <w:tcPr>
            <w:tcW w:type="dxa" w:w="1440"/>
          </w:tcPr>
          <w:p>
            <w:r>
              <w:rPr>
                <w:rFonts w:ascii="Calibri" w:hAnsi="Calibri"/>
                <w:sz w:val="22"/>
              </w:rPr>
              <w:t>$3.83B</w:t>
            </w:r>
          </w:p>
        </w:tc>
        <w:tc>
          <w:tcPr>
            <w:tcW w:type="dxa" w:w="1440"/>
          </w:tcPr>
          <w:p>
            <w:r>
              <w:rPr>
                <w:rFonts w:ascii="Calibri" w:hAnsi="Calibri"/>
                <w:sz w:val="22"/>
              </w:rPr>
              <w:t>-0.3%</w:t>
            </w:r>
          </w:p>
        </w:tc>
        <w:tc>
          <w:tcPr>
            <w:tcW w:type="dxa" w:w="1440"/>
          </w:tcPr>
          <w:p>
            <w:r>
              <w:rPr>
                <w:rFonts w:ascii="Calibri" w:hAnsi="Calibri"/>
                <w:sz w:val="22"/>
              </w:rPr>
              <w:t>IN LINE</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$2.20</w:t>
            </w:r>
          </w:p>
        </w:tc>
        <w:tc>
          <w:tcPr>
            <w:tcW w:type="dxa" w:w="1440"/>
          </w:tcPr>
          <w:p>
            <w:r>
              <w:rPr>
                <w:rFonts w:ascii="Calibri" w:hAnsi="Calibri"/>
                <w:sz w:val="22"/>
              </w:rPr>
              <w:t>$2.15</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BI Written Premium</w:t>
            </w:r>
          </w:p>
        </w:tc>
        <w:tc>
          <w:tcPr>
            <w:tcW w:type="dxa" w:w="1440"/>
          </w:tcPr>
          <w:p>
            <w:r>
              <w:rPr>
                <w:rFonts w:ascii="Calibri" w:hAnsi="Calibri"/>
                <w:sz w:val="22"/>
              </w:rPr>
              <w:t>$3.69B</w:t>
            </w:r>
          </w:p>
        </w:tc>
        <w:tc>
          <w:tcPr>
            <w:tcW w:type="dxa" w:w="1440"/>
          </w:tcPr>
          <w:p>
            <w:r>
              <w:rPr>
                <w:rFonts w:ascii="Calibri" w:hAnsi="Calibri"/>
                <w:sz w:val="22"/>
              </w:rPr>
              <w:t>$3.62B</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$2.94</w:t>
            </w:r>
          </w:p>
        </w:tc>
        <w:tc>
          <w:tcPr>
            <w:tcW w:type="dxa" w:w="1440"/>
          </w:tcPr>
          <w:p>
            <w:r>
              <w:rPr>
                <w:rFonts w:ascii="Calibri" w:hAnsi="Calibri"/>
                <w:sz w:val="22"/>
              </w:rPr>
              <w:t>$2.67</w:t>
            </w:r>
          </w:p>
        </w:tc>
        <w:tc>
          <w:tcPr>
            <w:tcW w:type="dxa" w:w="1440"/>
          </w:tcPr>
          <w:p>
            <w:r>
              <w:rPr>
                <w:rFonts w:ascii="Calibri" w:hAnsi="Calibri"/>
                <w:b/>
                <w:color w:val="30A46C"/>
                <w:sz w:val="22"/>
              </w:rPr>
              <w:t>+10.1%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BI Written Premium</w:t>
            </w:r>
          </w:p>
        </w:tc>
        <w:tc>
          <w:tcPr>
            <w:tcW w:type="dxa" w:w="1440"/>
          </w:tcPr>
          <w:p>
            <w:r>
              <w:rPr>
                <w:rFonts w:ascii="Calibri" w:hAnsi="Calibri"/>
                <w:sz w:val="22"/>
              </w:rPr>
              <w:t>$3.17B</w:t>
            </w:r>
          </w:p>
        </w:tc>
        <w:tc>
          <w:tcPr>
            <w:tcW w:type="dxa" w:w="1440"/>
          </w:tcPr>
          <w:p>
            <w:r>
              <w:rPr>
                <w:rFonts w:ascii="Calibri" w:hAnsi="Calibri"/>
                <w:sz w:val="22"/>
              </w:rPr>
              <w:t>$3.25B</w:t>
            </w:r>
          </w:p>
        </w:tc>
        <w:tc>
          <w:tcPr>
            <w:tcW w:type="dxa" w:w="1440"/>
          </w:tcPr>
          <w:p>
            <w:r>
              <w:rPr>
                <w:rFonts w:ascii="Calibri" w:hAnsi="Calibri"/>
                <w:b/>
                <w:color w:val="E5484D"/>
                <w:sz w:val="22"/>
              </w:rPr>
              <w:t>-2.5%</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$2.53</w:t>
            </w:r>
          </w:p>
        </w:tc>
        <w:tc>
          <w:tcPr>
            <w:tcW w:type="dxa" w:w="1440"/>
          </w:tcPr>
          <w:p>
            <w:r>
              <w:rPr>
                <w:rFonts w:ascii="Calibri" w:hAnsi="Calibri"/>
                <w:sz w:val="22"/>
              </w:rPr>
              <w:t>$2.57</w:t>
            </w:r>
          </w:p>
        </w:tc>
        <w:tc>
          <w:tcPr>
            <w:tcW w:type="dxa" w:w="1440"/>
          </w:tcPr>
          <w:p>
            <w:r>
              <w:rPr>
                <w:rFonts w:ascii="Calibri" w:hAnsi="Calibri"/>
                <w:sz w:val="22"/>
              </w:rPr>
              <w:t>-1.6%</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BI Written Premium</w:t>
            </w:r>
          </w:p>
        </w:tc>
        <w:tc>
          <w:tcPr>
            <w:tcW w:type="dxa" w:w="1440"/>
          </w:tcPr>
          <w:p>
            <w:r>
              <w:rPr>
                <w:rFonts w:ascii="Calibri" w:hAnsi="Calibri"/>
                <w:sz w:val="22"/>
              </w:rPr>
              <w:t>$3.28B</w:t>
            </w:r>
          </w:p>
        </w:tc>
        <w:tc>
          <w:tcPr>
            <w:tcW w:type="dxa" w:w="1440"/>
          </w:tcPr>
          <w:p>
            <w:r>
              <w:rPr>
                <w:rFonts w:ascii="Calibri" w:hAnsi="Calibri"/>
                <w:sz w:val="22"/>
              </w:rPr>
              <w:t>$3.28B</w:t>
            </w:r>
          </w:p>
        </w:tc>
        <w:tc>
          <w:tcPr>
            <w:tcW w:type="dxa" w:w="1440"/>
          </w:tcPr>
          <w:p>
            <w:r>
              <w:rPr>
                <w:rFonts w:ascii="Calibri" w:hAnsi="Calibri"/>
                <w:sz w:val="22"/>
              </w:rPr>
              <w:t>-0.2%</w:t>
            </w:r>
          </w:p>
        </w:tc>
        <w:tc>
          <w:tcPr>
            <w:tcW w:type="dxa" w:w="1440"/>
          </w:tcPr>
          <w:p>
            <w:r>
              <w:rPr>
                <w:rFonts w:ascii="Calibri" w:hAnsi="Calibri"/>
                <w:sz w:val="22"/>
              </w:rPr>
              <w:t>IN LINE</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$2.50</w:t>
            </w:r>
          </w:p>
        </w:tc>
        <w:tc>
          <w:tcPr>
            <w:tcW w:type="dxa" w:w="1440"/>
          </w:tcPr>
          <w:p>
            <w:r>
              <w:rPr>
                <w:rFonts w:ascii="Calibri" w:hAnsi="Calibri"/>
                <w:sz w:val="22"/>
              </w:rPr>
              <w:t>$2.27</w:t>
            </w:r>
          </w:p>
        </w:tc>
        <w:tc>
          <w:tcPr>
            <w:tcW w:type="dxa" w:w="1440"/>
          </w:tcPr>
          <w:p>
            <w:r>
              <w:rPr>
                <w:rFonts w:ascii="Calibri" w:hAnsi="Calibri"/>
                <w:b/>
                <w:color w:val="30A46C"/>
                <w:sz w:val="22"/>
              </w:rPr>
              <w:t>+10.1%</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BI Written Premium</w:t>
            </w:r>
          </w:p>
        </w:tc>
        <w:tc>
          <w:tcPr>
            <w:tcW w:type="dxa" w:w="1440"/>
          </w:tcPr>
          <w:p>
            <w:r>
              <w:rPr>
                <w:rFonts w:ascii="Calibri" w:hAnsi="Calibri"/>
                <w:sz w:val="22"/>
              </w:rPr>
              <w:t>$3.54B</w:t>
            </w:r>
          </w:p>
        </w:tc>
        <w:tc>
          <w:tcPr>
            <w:tcW w:type="dxa" w:w="1440"/>
          </w:tcPr>
          <w:p>
            <w:r>
              <w:rPr>
                <w:rFonts w:ascii="Calibri" w:hAnsi="Calibri"/>
                <w:sz w:val="22"/>
              </w:rPr>
              <w:t>$3.43B</w:t>
            </w:r>
          </w:p>
        </w:tc>
        <w:tc>
          <w:tcPr>
            <w:tcW w:type="dxa" w:w="1440"/>
          </w:tcPr>
          <w:p>
            <w:r>
              <w:rPr>
                <w:rFonts w:ascii="Calibri" w:hAnsi="Calibri"/>
                <w:b/>
                <w:color w:val="30A46C"/>
                <w:sz w:val="22"/>
              </w:rPr>
              <w:t>+3.2%</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HIG has beaten Operating EPS consensus in 6 of the last 8 quarters, with the sole miss being Q1 2026 (driven by a legacy GL reserve charge and elevated disability loss ratios). Business Insurance written premium has been consistently in-line to slightly above consensus, reflecting disciplined underwriting rather than volume surprises. 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Guidance is largely unchanged since the Q1 2026 earnings call (April 23–24, 2026) — management reaffirmed all key targets and the only post-earnings development was a routine board appointment. </w:t>
      </w:r>
      <w:r>
        <w:rPr>
          <w:rFonts w:ascii="Calibri" w:hAnsi="Calibri"/>
          <w:b/>
          <w:color w:val="525866"/>
          <w:sz w:val="22"/>
        </w:rPr>
        <w:t>Tone remains constructive on Business Insurance and Personal Lines, with the primary watch item being Group Benefits disability trends and LP income volatility.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23–24)</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Investment Income (FY2026)</w:t>
            </w:r>
          </w:p>
        </w:tc>
        <w:tc>
          <w:tcPr>
            <w:tcW w:type="dxa" w:w="1728"/>
          </w:tcPr>
          <w:p>
            <w:r>
              <w:rPr>
                <w:rFonts w:ascii="Calibri" w:hAnsi="Calibri"/>
                <w:sz w:val="22"/>
              </w:rPr>
              <w:t>Increase vs. 2025; portfolio yields generally in line with 2025</w:t>
            </w:r>
          </w:p>
        </w:tc>
        <w:tc>
          <w:tcPr>
            <w:tcW w:type="dxa" w:w="1728"/>
          </w:tcPr>
          <w:p>
            <w:r>
              <w:rPr>
                <w:rFonts w:ascii="Calibri" w:hAnsi="Calibri"/>
                <w:sz w:val="22"/>
              </w:rPr>
              <w:t>—</w:t>
            </w:r>
          </w:p>
        </w:tc>
        <w:tc>
          <w:tcPr>
            <w:tcW w:type="dxa" w:w="1728"/>
          </w:tcPr>
          <w:p>
            <w:r>
              <w:rPr>
                <w:rFonts w:ascii="Calibri" w:hAnsi="Calibri"/>
                <w:sz w:val="22"/>
              </w:rPr>
              <w:t>$3.02B (FY2026)</w:t>
            </w:r>
          </w:p>
        </w:tc>
        <w:tc>
          <w:tcPr>
            <w:tcW w:type="dxa" w:w="1728"/>
          </w:tcPr>
          <w:p>
            <w:r>
              <w:rPr>
                <w:rFonts w:ascii="Calibri" w:hAnsi="Calibri"/>
                <w:sz w:val="22"/>
              </w:rPr>
              <w:t>Unchanged. Geopolitical volatility flagged as near-term LP headwind.</w:t>
            </w:r>
          </w:p>
        </w:tc>
      </w:tr>
      <w:tr>
        <w:tc>
          <w:tcPr>
            <w:tcW w:type="dxa" w:w="1728"/>
          </w:tcPr>
          <w:p>
            <w:r>
              <w:rPr>
                <w:rFonts w:ascii="Calibri" w:hAnsi="Calibri"/>
                <w:sz w:val="22"/>
              </w:rPr>
              <w:t>Share Repurchases (Q2 2026)</w:t>
            </w:r>
          </w:p>
        </w:tc>
        <w:tc>
          <w:tcPr>
            <w:tcW w:type="dxa" w:w="1728"/>
          </w:tcPr>
          <w:p>
            <w:r>
              <w:rPr>
                <w:rFonts w:ascii="Calibri" w:hAnsi="Calibri"/>
                <w:sz w:val="22"/>
              </w:rPr>
              <w:t>$450M in Q2 (same pace as Q1); $1.1B remaining authorization through Dec 31, 2026</w:t>
            </w:r>
          </w:p>
        </w:tc>
        <w:tc>
          <w:tcPr>
            <w:tcW w:type="dxa" w:w="1728"/>
          </w:tcPr>
          <w:p>
            <w:r>
              <w:rPr>
                <w:rFonts w:ascii="Calibri" w:hAnsi="Calibri"/>
                <w:sz w:val="22"/>
              </w:rPr>
              <w:t>—</w:t>
            </w:r>
          </w:p>
        </w:tc>
        <w:tc>
          <w:tcPr>
            <w:tcW w:type="dxa" w:w="1728"/>
          </w:tcPr>
          <w:p>
            <w:r>
              <w:rPr>
                <w:rFonts w:ascii="Calibri" w:hAnsi="Calibri"/>
                <w:sz w:val="22"/>
              </w:rPr>
              <w:t>N/A (not a consensus KPI)</w:t>
            </w:r>
          </w:p>
        </w:tc>
        <w:tc>
          <w:tcPr>
            <w:tcW w:type="dxa" w:w="1728"/>
          </w:tcPr>
          <w:p>
            <w:r>
              <w:rPr>
                <w:rFonts w:ascii="Calibri" w:hAnsi="Calibri"/>
                <w:sz w:val="22"/>
              </w:rPr>
              <w:t>Unchanged. Explicit Q2 buyback guidance is a positive capital return signal.</w:t>
            </w:r>
          </w:p>
        </w:tc>
      </w:tr>
      <w:tr>
        <w:tc>
          <w:tcPr>
            <w:tcW w:type="dxa" w:w="1728"/>
          </w:tcPr>
          <w:p>
            <w:r>
              <w:rPr>
                <w:rFonts w:ascii="Calibri" w:hAnsi="Calibri"/>
                <w:sz w:val="22"/>
              </w:rPr>
              <w:t>Business Insurance Expense Ratio</w:t>
            </w:r>
          </w:p>
        </w:tc>
        <w:tc>
          <w:tcPr>
            <w:tcW w:type="dxa" w:w="1728"/>
          </w:tcPr>
          <w:p>
            <w:r>
              <w:rPr>
                <w:rFonts w:ascii="Calibri" w:hAnsi="Calibri"/>
                <w:sz w:val="22"/>
              </w:rPr>
              <w:t>Below 30% by end of 2027; decline in 2026 vs. 2025 (from 31.6% in Q1 2026)</w:t>
            </w:r>
          </w:p>
        </w:tc>
        <w:tc>
          <w:tcPr>
            <w:tcW w:type="dxa" w:w="1728"/>
          </w:tcPr>
          <w:p>
            <w:r>
              <w:rPr>
                <w:rFonts w:ascii="Calibri" w:hAnsi="Calibri"/>
                <w:sz w:val="22"/>
              </w:rPr>
              <w:t>—</w:t>
            </w:r>
          </w:p>
        </w:tc>
        <w:tc>
          <w:tcPr>
            <w:tcW w:type="dxa" w:w="1728"/>
          </w:tcPr>
          <w:p>
            <w:r>
              <w:rPr>
                <w:rFonts w:ascii="Calibri" w:hAnsi="Calibri"/>
                <w:sz w:val="22"/>
              </w:rPr>
              <w:t>88.4% UCR consensus (Q2 2026)</w:t>
            </w:r>
          </w:p>
        </w:tc>
        <w:tc>
          <w:tcPr>
            <w:tcW w:type="dxa" w:w="1728"/>
          </w:tcPr>
          <w:p>
            <w:r>
              <w:rPr>
                <w:rFonts w:ascii="Calibri" w:hAnsi="Calibri"/>
                <w:sz w:val="22"/>
              </w:rPr>
              <w:t>Unchanged. Management reaffirmed all 2027 targets explicitly on Q1 call.</w:t>
            </w:r>
          </w:p>
        </w:tc>
      </w:tr>
      <w:tr>
        <w:tc>
          <w:tcPr>
            <w:tcW w:type="dxa" w:w="1728"/>
          </w:tcPr>
          <w:p>
            <w:r>
              <w:rPr>
                <w:rFonts w:ascii="Calibri" w:hAnsi="Calibri"/>
                <w:sz w:val="22"/>
              </w:rPr>
              <w:t>Personal Lines Expense Ratio</w:t>
            </w:r>
          </w:p>
        </w:tc>
        <w:tc>
          <w:tcPr>
            <w:tcW w:type="dxa" w:w="1728"/>
          </w:tcPr>
          <w:p>
            <w:r>
              <w:rPr>
                <w:rFonts w:ascii="Calibri" w:hAnsi="Calibri"/>
                <w:sz w:val="22"/>
              </w:rPr>
              <w:t>Below 25% by end of 2027; Prevail Agency live in 15 states, 30 states by early 2027</w:t>
            </w:r>
          </w:p>
        </w:tc>
        <w:tc>
          <w:tcPr>
            <w:tcW w:type="dxa" w:w="1728"/>
          </w:tcPr>
          <w:p>
            <w:r>
              <w:rPr>
                <w:rFonts w:ascii="Calibri" w:hAnsi="Calibri"/>
                <w:sz w:val="22"/>
              </w:rPr>
              <w:t>—</w:t>
            </w:r>
          </w:p>
        </w:tc>
        <w:tc>
          <w:tcPr>
            <w:tcW w:type="dxa" w:w="1728"/>
          </w:tcPr>
          <w:p>
            <w:r>
              <w:rPr>
                <w:rFonts w:ascii="Calibri" w:hAnsi="Calibri"/>
                <w:sz w:val="22"/>
              </w:rPr>
              <w:t>86.5% UCR consensus (Q2 2026)</w:t>
            </w:r>
          </w:p>
        </w:tc>
        <w:tc>
          <w:tcPr>
            <w:tcW w:type="dxa" w:w="1728"/>
          </w:tcPr>
          <w:p>
            <w:r>
              <w:rPr>
                <w:rFonts w:ascii="Calibri" w:hAnsi="Calibri"/>
                <w:sz w:val="22"/>
              </w:rPr>
              <w:t>Unchanged. Prevail rollout on track; growth pivot underway.</w:t>
            </w:r>
          </w:p>
        </w:tc>
      </w:tr>
      <w:tr>
        <w:tc>
          <w:tcPr>
            <w:tcW w:type="dxa" w:w="1728"/>
          </w:tcPr>
          <w:p>
            <w:r>
              <w:rPr>
                <w:rFonts w:ascii="Calibri" w:hAnsi="Calibri"/>
                <w:sz w:val="22"/>
              </w:rPr>
              <w:t>Employee Benefits Expense Ratio</w:t>
            </w:r>
          </w:p>
        </w:tc>
        <w:tc>
          <w:tcPr>
            <w:tcW w:type="dxa" w:w="1728"/>
          </w:tcPr>
          <w:p>
            <w:r>
              <w:rPr>
                <w:rFonts w:ascii="Calibri" w:hAnsi="Calibri"/>
                <w:sz w:val="22"/>
              </w:rPr>
              <w:t>~25% by end of 2027; disability loss ratio expected to moderate through 2026</w:t>
            </w:r>
          </w:p>
        </w:tc>
        <w:tc>
          <w:tcPr>
            <w:tcW w:type="dxa" w:w="1728"/>
          </w:tcPr>
          <w:p>
            <w:r>
              <w:rPr>
                <w:rFonts w:ascii="Calibri" w:hAnsi="Calibri"/>
                <w:sz w:val="22"/>
              </w:rPr>
              <w:t>—</w:t>
            </w:r>
          </w:p>
        </w:tc>
        <w:tc>
          <w:tcPr>
            <w:tcW w:type="dxa" w:w="1728"/>
          </w:tcPr>
          <w:p>
            <w:r>
              <w:rPr>
                <w:rFonts w:ascii="Calibri" w:hAnsi="Calibri"/>
                <w:sz w:val="22"/>
              </w:rPr>
              <w:t>8.1% core earnings margin consensus (Q2 2026)</w:t>
            </w:r>
          </w:p>
        </w:tc>
        <w:tc>
          <w:tcPr>
            <w:tcW w:type="dxa" w:w="1728"/>
          </w:tcPr>
          <w:p>
            <w:r>
              <w:rPr>
                <w:rFonts w:ascii="Calibri" w:hAnsi="Calibri"/>
                <w:sz w:val="22"/>
              </w:rPr>
              <w:t>Unchanged. Paid Family Leave new state pent-up demand expected to moderate.</w:t>
            </w:r>
          </w:p>
        </w:tc>
      </w:tr>
      <w:tr>
        <w:tc>
          <w:tcPr>
            <w:tcW w:type="dxa" w:w="1728"/>
          </w:tcPr>
          <w:p>
            <w:r>
              <w:rPr>
                <w:rFonts w:ascii="Calibri" w:hAnsi="Calibri"/>
                <w:sz w:val="22"/>
              </w:rPr>
              <w:t>Property Premium Growth (FY2026)</w:t>
            </w:r>
          </w:p>
        </w:tc>
        <w:tc>
          <w:tcPr>
            <w:tcW w:type="dxa" w:w="1728"/>
          </w:tcPr>
          <w:p>
            <w:r>
              <w:rPr>
                <w:rFonts w:ascii="Calibri" w:hAnsi="Calibri"/>
                <w:sz w:val="22"/>
              </w:rPr>
              <w:t>~10% growth on $3.3B 2025 base (~$3.6B target); good margins and returns</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Unchanged. Differentiated from large account/E&amp;S property softening.</w:t>
            </w:r>
          </w:p>
        </w:tc>
      </w:tr>
      <w:tr>
        <w:tc>
          <w:tcPr>
            <w:tcW w:type="dxa" w:w="1728"/>
          </w:tcPr>
          <w:p>
            <w:r>
              <w:rPr>
                <w:rFonts w:ascii="Calibri" w:hAnsi="Calibri"/>
                <w:sz w:val="22"/>
              </w:rPr>
              <w:t>Catastrophe Aggregate Treaty</w:t>
            </w:r>
          </w:p>
        </w:tc>
        <w:tc>
          <w:tcPr>
            <w:tcW w:type="dxa" w:w="1728"/>
          </w:tcPr>
          <w:p>
            <w:r>
              <w:rPr>
                <w:rFonts w:ascii="Calibri" w:hAnsi="Calibri"/>
                <w:sz w:val="22"/>
              </w:rPr>
              <w:t>$204M of $750M threshold reached through Q1 2026; treaty kicks in at $750M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watch item: Q2 cat activity will determine proximity to treaty attachment.</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Q2 2026 Operating EPS estimates have been revised down ~6% since the Q1 print (from $3.30 to $3.10), while FY2026 EPS has been trimmed modestly from $13.09 to $12.40 — </w:t>
      </w:r>
      <w:r>
        <w:rPr>
          <w:rFonts w:ascii="Calibri" w:hAnsi="Calibri"/>
          <w:b/>
          <w:color w:val="525866"/>
          <w:sz w:val="22"/>
        </w:rPr>
        <w:t>revisions are tracking guidance directionally but the gap between current consensus and the implied FY run-rate suggests the Street is embedding some conservatism on Group Benefits and LP income.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$3.30</w:t>
            </w:r>
          </w:p>
        </w:tc>
        <w:tc>
          <w:tcPr>
            <w:tcW w:type="dxa" w:w="1080"/>
          </w:tcPr>
          <w:p>
            <w:r>
              <w:rPr>
                <w:rFonts w:ascii="Calibri" w:hAnsi="Calibri"/>
                <w:sz w:val="22"/>
              </w:rPr>
              <w:t>$3.10</w:t>
            </w:r>
          </w:p>
        </w:tc>
        <w:tc>
          <w:tcPr>
            <w:tcW w:type="dxa" w:w="1080"/>
          </w:tcPr>
          <w:p>
            <w:r>
              <w:rPr>
                <w:rFonts w:ascii="Calibri" w:hAnsi="Calibri"/>
                <w:b/>
                <w:color w:val="E5484D"/>
                <w:sz w:val="22"/>
              </w:rPr>
              <w:t>-6.1%</w:t>
            </w:r>
          </w:p>
        </w:tc>
        <w:tc>
          <w:tcPr>
            <w:tcW w:type="dxa" w:w="1080"/>
          </w:tcPr>
          <w:p>
            <w:r>
              <w:rPr>
                <w:rFonts w:ascii="Calibri" w:hAnsi="Calibri"/>
                <w:sz w:val="22"/>
              </w:rPr>
              <w:t>No specific Q2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$13.09</w:t>
            </w:r>
          </w:p>
        </w:tc>
        <w:tc>
          <w:tcPr>
            <w:tcW w:type="dxa" w:w="1080"/>
          </w:tcPr>
          <w:p>
            <w:r>
              <w:rPr>
                <w:rFonts w:ascii="Calibri" w:hAnsi="Calibri"/>
                <w:sz w:val="22"/>
              </w:rPr>
              <w:t>$12.40</w:t>
            </w:r>
          </w:p>
        </w:tc>
        <w:tc>
          <w:tcPr>
            <w:tcW w:type="dxa" w:w="1080"/>
          </w:tcPr>
          <w:p>
            <w:r>
              <w:rPr>
                <w:rFonts w:ascii="Calibri" w:hAnsi="Calibri"/>
                <w:b/>
                <w:color w:val="E5484D"/>
                <w:sz w:val="22"/>
              </w:rPr>
              <w:t>-5.3%</w:t>
            </w:r>
          </w:p>
        </w:tc>
        <w:tc>
          <w:tcPr>
            <w:tcW w:type="dxa" w:w="1080"/>
          </w:tcPr>
          <w:p>
            <w:r>
              <w:rPr>
                <w:rFonts w:ascii="Calibri" w:hAnsi="Calibri"/>
                <w:sz w:val="22"/>
              </w:rPr>
              <w:t>No specific FY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BI Written Premium — Q2 2026</w:t>
            </w:r>
          </w:p>
        </w:tc>
        <w:tc>
          <w:tcPr>
            <w:tcW w:type="dxa" w:w="1080"/>
          </w:tcPr>
          <w:p>
            <w:r>
              <w:rPr>
                <w:rFonts w:ascii="Calibri" w:hAnsi="Calibri"/>
                <w:sz w:val="22"/>
              </w:rPr>
              <w:t>$4.03B</w:t>
            </w:r>
          </w:p>
        </w:tc>
        <w:tc>
          <w:tcPr>
            <w:tcW w:type="dxa" w:w="1080"/>
          </w:tcPr>
          <w:p>
            <w:r>
              <w:rPr>
                <w:rFonts w:ascii="Calibri" w:hAnsi="Calibri"/>
                <w:sz w:val="22"/>
              </w:rPr>
              <w:t>$4.02B</w:t>
            </w:r>
          </w:p>
        </w:tc>
        <w:tc>
          <w:tcPr>
            <w:tcW w:type="dxa" w:w="1080"/>
          </w:tcPr>
          <w:p>
            <w:r>
              <w:rPr>
                <w:rFonts w:ascii="Calibri" w:hAnsi="Calibri"/>
                <w:sz w:val="22"/>
              </w:rPr>
              <w:t>-0.2%</w:t>
            </w:r>
          </w:p>
        </w:tc>
        <w:tc>
          <w:tcPr>
            <w:tcW w:type="dxa" w:w="1080"/>
          </w:tcPr>
          <w:p>
            <w:r>
              <w:rPr>
                <w:rFonts w:ascii="Calibri" w:hAnsi="Calibri"/>
                <w:sz w:val="22"/>
              </w:rPr>
              <w:t>~10% property growth; pricing ex-WC ~6%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in line</w:t>
            </w:r>
          </w:p>
        </w:tc>
      </w:tr>
      <w:tr>
        <w:tc>
          <w:tcPr>
            <w:tcW w:type="dxa" w:w="1080"/>
          </w:tcPr>
          <w:p>
            <w:r>
              <w:rPr>
                <w:rFonts w:ascii="Calibri" w:hAnsi="Calibri"/>
                <w:sz w:val="22"/>
              </w:rPr>
              <w:t>BI Written Premium — FY2026</w:t>
            </w:r>
          </w:p>
        </w:tc>
        <w:tc>
          <w:tcPr>
            <w:tcW w:type="dxa" w:w="1080"/>
          </w:tcPr>
          <w:p>
            <w:r>
              <w:rPr>
                <w:rFonts w:ascii="Calibri" w:hAnsi="Calibri"/>
                <w:sz w:val="22"/>
              </w:rPr>
              <w:t>$15.27B</w:t>
            </w:r>
          </w:p>
        </w:tc>
        <w:tc>
          <w:tcPr>
            <w:tcW w:type="dxa" w:w="1080"/>
          </w:tcPr>
          <w:p>
            <w:r>
              <w:rPr>
                <w:rFonts w:ascii="Calibri" w:hAnsi="Calibri"/>
                <w:sz w:val="22"/>
              </w:rPr>
              <w:t>$15.25B</w:t>
            </w:r>
          </w:p>
        </w:tc>
        <w:tc>
          <w:tcPr>
            <w:tcW w:type="dxa" w:w="1080"/>
          </w:tcPr>
          <w:p>
            <w:r>
              <w:rPr>
                <w:rFonts w:ascii="Calibri" w:hAnsi="Calibri"/>
                <w:sz w:val="22"/>
              </w:rPr>
              <w:t>-0.1%</w:t>
            </w:r>
          </w:p>
        </w:tc>
        <w:tc>
          <w:tcPr>
            <w:tcW w:type="dxa" w:w="1080"/>
          </w:tcPr>
          <w:p>
            <w:r>
              <w:rPr>
                <w:rFonts w:ascii="Calibri" w:hAnsi="Calibri"/>
                <w:sz w:val="22"/>
              </w:rPr>
              <w:t>~10% property growth; pricing ex-WC ~6%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in line</w:t>
            </w:r>
          </w:p>
        </w:tc>
      </w:tr>
      <w:tr>
        <w:tc>
          <w:tcPr>
            <w:tcW w:type="dxa" w:w="1080"/>
          </w:tcPr>
          <w:p>
            <w:r>
              <w:rPr>
                <w:rFonts w:ascii="Calibri" w:hAnsi="Calibri"/>
                <w:sz w:val="22"/>
              </w:rPr>
              <w:t>Net Investment Income — Q2 2026</w:t>
            </w:r>
          </w:p>
        </w:tc>
        <w:tc>
          <w:tcPr>
            <w:tcW w:type="dxa" w:w="1080"/>
          </w:tcPr>
          <w:p>
            <w:r>
              <w:rPr>
                <w:rFonts w:ascii="Calibri" w:hAnsi="Calibri"/>
                <w:sz w:val="22"/>
              </w:rPr>
              <w:t>$741M</w:t>
            </w:r>
          </w:p>
        </w:tc>
        <w:tc>
          <w:tcPr>
            <w:tcW w:type="dxa" w:w="1080"/>
          </w:tcPr>
          <w:p>
            <w:r>
              <w:rPr>
                <w:rFonts w:ascii="Calibri" w:hAnsi="Calibri"/>
                <w:sz w:val="22"/>
              </w:rPr>
              <w:t>$729M</w:t>
            </w:r>
          </w:p>
        </w:tc>
        <w:tc>
          <w:tcPr>
            <w:tcW w:type="dxa" w:w="1080"/>
          </w:tcPr>
          <w:p>
            <w:r>
              <w:rPr>
                <w:rFonts w:ascii="Calibri" w:hAnsi="Calibri"/>
                <w:sz w:val="22"/>
              </w:rPr>
              <w:t>-1.6%</w:t>
            </w:r>
          </w:p>
        </w:tc>
        <w:tc>
          <w:tcPr>
            <w:tcW w:type="dxa" w:w="1080"/>
          </w:tcPr>
          <w:p>
            <w:r>
              <w:rPr>
                <w:rFonts w:ascii="Calibri" w:hAnsi="Calibri"/>
                <w:sz w:val="22"/>
              </w:rPr>
              <w:t>FY2026 NII to increase vs. 2025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Slightly below FY implied run-rate</w:t>
            </w:r>
          </w:p>
        </w:tc>
      </w:tr>
      <w:tr>
        <w:tc>
          <w:tcPr>
            <w:tcW w:type="dxa" w:w="1080"/>
          </w:tcPr>
          <w:p>
            <w:r>
              <w:rPr>
                <w:rFonts w:ascii="Calibri" w:hAnsi="Calibri"/>
                <w:sz w:val="22"/>
              </w:rPr>
              <w:t>Net Investment Income — FY2026</w:t>
            </w:r>
          </w:p>
        </w:tc>
        <w:tc>
          <w:tcPr>
            <w:tcW w:type="dxa" w:w="1080"/>
          </w:tcPr>
          <w:p>
            <w:r>
              <w:rPr>
                <w:rFonts w:ascii="Calibri" w:hAnsi="Calibri"/>
                <w:sz w:val="22"/>
              </w:rPr>
              <w:t>$3.03B</w:t>
            </w:r>
          </w:p>
        </w:tc>
        <w:tc>
          <w:tcPr>
            <w:tcW w:type="dxa" w:w="1080"/>
          </w:tcPr>
          <w:p>
            <w:r>
              <w:rPr>
                <w:rFonts w:ascii="Calibri" w:hAnsi="Calibri"/>
                <w:sz w:val="22"/>
              </w:rPr>
              <w:t>$3.02B</w:t>
            </w:r>
          </w:p>
        </w:tc>
        <w:tc>
          <w:tcPr>
            <w:tcW w:type="dxa" w:w="1080"/>
          </w:tcPr>
          <w:p>
            <w:r>
              <w:rPr>
                <w:rFonts w:ascii="Calibri" w:hAnsi="Calibri"/>
                <w:sz w:val="22"/>
              </w:rPr>
              <w:t>-0.5%</w:t>
            </w:r>
          </w:p>
        </w:tc>
        <w:tc>
          <w:tcPr>
            <w:tcW w:type="dxa" w:w="1080"/>
          </w:tcPr>
          <w:p>
            <w:r>
              <w:rPr>
                <w:rFonts w:ascii="Calibri" w:hAnsi="Calibri"/>
                <w:sz w:val="22"/>
              </w:rPr>
              <w:t>FY2026 NII to increase vs. 2025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guidance</w:t>
            </w:r>
          </w:p>
        </w:tc>
      </w:tr>
      <w:tr>
        <w:tc>
          <w:tcPr>
            <w:tcW w:type="dxa" w:w="1080"/>
          </w:tcPr>
          <w:p>
            <w:r>
              <w:rPr>
                <w:rFonts w:ascii="Calibri" w:hAnsi="Calibri"/>
                <w:sz w:val="22"/>
              </w:rPr>
              <w:t>BI Underlying Combined Ratio — Q2 2026</w:t>
            </w:r>
          </w:p>
        </w:tc>
        <w:tc>
          <w:tcPr>
            <w:tcW w:type="dxa" w:w="1080"/>
          </w:tcPr>
          <w:p>
            <w:r>
              <w:rPr>
                <w:rFonts w:ascii="Calibri" w:hAnsi="Calibri"/>
                <w:sz w:val="22"/>
              </w:rPr>
              <w:t>88.4%</w:t>
            </w:r>
          </w:p>
        </w:tc>
        <w:tc>
          <w:tcPr>
            <w:tcW w:type="dxa" w:w="1080"/>
          </w:tcPr>
          <w:p>
            <w:r>
              <w:rPr>
                <w:rFonts w:ascii="Calibri" w:hAnsi="Calibri"/>
                <w:sz w:val="22"/>
              </w:rPr>
              <w:t>88.4%</w:t>
            </w:r>
          </w:p>
        </w:tc>
        <w:tc>
          <w:tcPr>
            <w:tcW w:type="dxa" w:w="1080"/>
          </w:tcPr>
          <w:p>
            <w:r>
              <w:rPr>
                <w:rFonts w:ascii="Calibri" w:hAnsi="Calibri"/>
                <w:sz w:val="22"/>
              </w:rPr>
              <w:t>0.0%</w:t>
            </w:r>
          </w:p>
        </w:tc>
        <w:tc>
          <w:tcPr>
            <w:tcW w:type="dxa" w:w="1080"/>
          </w:tcPr>
          <w:p>
            <w:r>
              <w:rPr>
                <w:rFonts w:ascii="Calibri" w:hAnsi="Calibri"/>
                <w:sz w:val="22"/>
              </w:rPr>
              <w:t>Expense ratio below 30% by end of 2027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Stable; no revision</w:t>
            </w:r>
          </w:p>
        </w:tc>
      </w:tr>
      <w:tr>
        <w:tc>
          <w:tcPr>
            <w:tcW w:type="dxa" w:w="1080"/>
          </w:tcPr>
          <w:p>
            <w:r>
              <w:rPr>
                <w:rFonts w:ascii="Calibri" w:hAnsi="Calibri"/>
                <w:sz w:val="22"/>
              </w:rPr>
              <w:t>Group Benefits Core Earnings Margin — Q2 2026</w:t>
            </w:r>
          </w:p>
        </w:tc>
        <w:tc>
          <w:tcPr>
            <w:tcW w:type="dxa" w:w="1080"/>
          </w:tcPr>
          <w:p>
            <w:r>
              <w:rPr>
                <w:rFonts w:ascii="Calibri" w:hAnsi="Calibri"/>
                <w:sz w:val="22"/>
              </w:rPr>
              <w:t>8.3%</w:t>
            </w:r>
          </w:p>
        </w:tc>
        <w:tc>
          <w:tcPr>
            <w:tcW w:type="dxa" w:w="1080"/>
          </w:tcPr>
          <w:p>
            <w:r>
              <w:rPr>
                <w:rFonts w:ascii="Calibri" w:hAnsi="Calibri"/>
                <w:sz w:val="22"/>
              </w:rPr>
              <w:t>8.1%</w:t>
            </w:r>
          </w:p>
        </w:tc>
        <w:tc>
          <w:tcPr>
            <w:tcW w:type="dxa" w:w="1080"/>
          </w:tcPr>
          <w:p>
            <w:r>
              <w:rPr>
                <w:rFonts w:ascii="Calibri" w:hAnsi="Calibri"/>
                <w:sz w:val="22"/>
              </w:rPr>
              <w:t>-2.4%</w:t>
            </w:r>
          </w:p>
        </w:tc>
        <w:tc>
          <w:tcPr>
            <w:tcW w:type="dxa" w:w="1080"/>
          </w:tcPr>
          <w:p>
            <w:r>
              <w:rPr>
                <w:rFonts w:ascii="Calibri" w:hAnsi="Calibri"/>
                <w:sz w:val="22"/>
              </w:rPr>
              <w:t>EB expense ratio ~25% by end of 2027; disability to moderate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 downward drift; disability uncertainty</w:t>
            </w:r>
          </w:p>
        </w:tc>
      </w:tr>
    </w:tbl>
    <w:p>
      <w:r>
        <w:rPr>
          <w:rFonts w:ascii="Calibri" w:hAnsi="Calibri"/>
          <w:i/>
          <w:color w:val="525866"/>
          <w:sz w:val="22"/>
        </w:rPr>
        <w:t>Source: Visible Alpha Consensus and Actuals Data. Post-Q1 baseline as of April 28, 2026 (5 trading days after April 23, 2026 earnings release). Current consensus as of July 22, 2026.</w:t>
      </w:r>
    </w:p>
    <w:p>
      <w:r>
        <w:rPr>
          <w:rFonts w:ascii="Calibri" w:hAnsi="Calibri"/>
          <w:color w:val="525866"/>
          <w:sz w:val="22"/>
        </w:rPr>
        <w:t>The ~6% downward revision to Q2 and FY2026 EPS since the Q1 print is almost entirely attributable to the Group Benefits disability surprise and LP income uncertainty flagged by management. Business Insurance premium and combined ratio estimates have been remarkably stable, suggesting the Street has high conviction in the underwriting franchise but is embedding a margin-of-safety discount on the more volatile earnings lines.</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HIG has meaningfully underperformed both the insurance sector (KIE: +7.7%) and the S&amp;P 500 (SPY: +5.5%) since the Q1 2026 earnings date, with the stock essentially flat (+0.9% indexed) — </w:t>
      </w:r>
      <w:r>
        <w:rPr>
          <w:rFonts w:ascii="Calibri" w:hAnsi="Calibri"/>
          <w:b/>
          <w:color w:val="525866"/>
          <w:sz w:val="22"/>
        </w:rPr>
        <w:t>the underperformance is sentiment-driven following the Q1 EPS miss and disability surprise, not multiple compression, as the broader insurance sector has re-rated higher.</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HIG vs. KIE (Insurance ETF) vs. S&amp;P 500 — Indexed to 100 at Q1 2026 Earnings (April 23, 2026). KIE is the SPDR S&amp;P Insurance ETF, the most appropriate sector benchmark for HIG's P&amp;C and benefits business mix. Source: Stock Price Data.</w:t>
      </w:r>
    </w:p>
    <w:p>
      <w:r>
        <w:rPr>
          <w:rFonts w:ascii="Calibri" w:hAnsi="Calibri"/>
          <w:color w:val="525866"/>
          <w:sz w:val="22"/>
        </w:rPr>
        <w:t xml:space="preserve">HIG opened the post-Q1 period at $139.61 and traded as low as $125.94 (June 3) before recovering to $140.84 as of July 22, 2026. The stock's trajectory tells a clear story: an immediate ~4% drop on the Q1 miss (April 24), followed by continued drift lower through late May/early June as disability concerns lingered, then a recovery in July as the insurance sector broadly re-rated on strong peer prints from TRV and CB. The recovery has been driven by sector rotation and peer read-through rather than HIG-specific catalysts, leaving the stock essentially flat on an absolute basis while peers have outperformed. </w:t>
      </w:r>
    </w:p>
    <w:p>
      <w:r>
        <w:rPr>
          <w:rFonts w:ascii="Calibri" w:hAnsi="Calibri"/>
          <w:b/>
          <w:color w:val="525866"/>
          <w:sz w:val="22"/>
        </w:rPr>
        <w:t xml:space="preserve">Sector ETF: </w:t>
      </w:r>
      <w:r>
        <w:rPr>
          <w:rFonts w:ascii="Calibri" w:hAnsi="Calibri"/>
          <w:color w:val="525866"/>
          <w:sz w:val="22"/>
        </w:rPr>
        <w:t>KIE (SPDR S&amp;P Insurance ETF) — appropriate benchmark given HIG's primary exposure to P&amp;C insurance and group benefits. KIE's +7.7% outperformance vs. HIG's flat return since Q1 earnings reflects the market's preference for peers with cleaner earnings quality and no disability overhang.</w:t>
      </w:r>
    </w:p>
    <w:p>
      <w:r>
        <w:br w:type="page"/>
      </w:r>
    </w:p>
    <w:p>
      <w:pPr>
        <w:pStyle w:val="Heading2"/>
      </w:pPr>
      <w:r>
        <w:rPr>
          <w:rFonts w:ascii="Calibri" w:hAnsi="Calibri"/>
          <w:b/>
          <w:color w:val="3B4259"/>
          <w:sz w:val="28"/>
        </w:rPr>
        <w:t>Peer Commentaries — Read-Through for Q2 2026</w:t>
      </w:r>
    </w:p>
    <w:p>
      <w:r>
        <w:rPr>
          <w:rFonts w:ascii="Calibri" w:hAnsi="Calibri"/>
          <w:b/>
          <w:color w:val="525866"/>
          <w:sz w:val="22"/>
        </w:rPr>
        <w:t xml:space="preserve">Key Takeaway: </w:t>
      </w:r>
      <w:r>
        <w:rPr>
          <w:rFonts w:ascii="Calibri" w:hAnsi="Calibri"/>
          <w:color w:val="525866"/>
          <w:sz w:val="22"/>
        </w:rPr>
        <w:t xml:space="preserve">Q2 2026 peer prints from Travelers (TRV) and Chubb (CB) are strongly positive read-throughs for HIG's Business Insurance segment — record underwriting results, disciplined pricing, and favorable reserve development signal a healthy commercial P&amp;C environment. The key negative read-through is from CNA (Q1) and CB (Q2) on </w:t>
      </w:r>
      <w:r>
        <w:rPr>
          <w:rFonts w:ascii="Calibri" w:hAnsi="Calibri"/>
          <w:b/>
          <w:color w:val="525866"/>
          <w:sz w:val="22"/>
        </w:rPr>
        <w:t>casualty loss cost inflation remaining elevated (6–12% annually)</w:t>
      </w:r>
      <w:r>
        <w:rPr>
          <w:rFonts w:ascii="Calibri" w:hAnsi="Calibri"/>
          <w:color w:val="525866"/>
          <w:sz w:val="22"/>
        </w:rPr>
        <w:t>, which is directly relevant to HIG's GL and excess casualty reserves. Group Benefits disability trends from MET (Q1) provide a mixed read-through: elevated new-state PFL claims are expected to moderate in H2, which is constructive for HIG's Q2 outlook.</w:t>
      </w:r>
    </w:p>
    <w:p>
      <w:r>
        <w:rPr>
          <w:rFonts w:ascii="Calibri" w:hAnsi="Calibri"/>
          <w:i/>
          <w:color w:val="525866"/>
          <w:sz w:val="22"/>
        </w:rPr>
        <w:t>Note: Only peer commentary about Q2 2026 (current reporting quarter) or forward-looking commentary made after Q1 2026 earnings is included below. Q1 2026 results commentary from peers is excluded.</w:t>
      </w:r>
    </w:p>
    <w:p>
      <w:pPr>
        <w:pStyle w:val="Heading3"/>
      </w:pPr>
      <w:r>
        <w:rPr>
          <w:rFonts w:ascii="Calibri" w:hAnsi="Calibri"/>
          <w:b/>
          <w:color w:val="3B4259"/>
          <w:sz w:val="24"/>
        </w:rPr>
        <w:t>Travelers (TRV) — Q2 2026 Earnings (July 17, 2026)</w:t>
      </w:r>
    </w:p>
    <w:p>
      <w:r>
        <w:rPr>
          <w:rFonts w:ascii="Calibri" w:hAnsi="Calibri"/>
          <w:b/>
          <w:color w:val="525866"/>
          <w:sz w:val="22"/>
        </w:rPr>
        <w:t xml:space="preserve">Read-Through: </w:t>
      </w:r>
      <w:r>
        <w:rPr>
          <w:rFonts w:ascii="Calibri" w:hAnsi="Calibri"/>
          <w:b/>
          <w:color w:val="30A46C"/>
          <w:sz w:val="22"/>
        </w:rPr>
        <w:t>STRONGLY POSITIVE</w:t>
      </w:r>
      <w:r>
        <w:rPr>
          <w:rFonts w:ascii="Calibri" w:hAnsi="Calibri"/>
          <w:color w:val="525866"/>
          <w:sz w:val="22"/>
        </w:rPr>
        <w:t xml:space="preserve"> for HIG Business Insurance</w:t>
      </w:r>
    </w:p>
    <w:p>
      <w:pPr>
        <w:pStyle w:val="ListBullet"/>
        <w:ind w:left="360" w:hanging="360"/>
      </w:pPr>
      <w:r>
        <w:rPr>
          <w:rFonts w:ascii="Calibri" w:hAnsi="Calibri"/>
          <w:b/>
          <w:color w:val="525866"/>
          <w:sz w:val="22"/>
        </w:rPr>
        <w:t xml:space="preserve">Record Business Insurance quarter: </w:t>
      </w:r>
      <w:r>
        <w:rPr>
          <w:rFonts w:ascii="Calibri" w:hAnsi="Calibri"/>
          <w:color w:val="525866"/>
          <w:sz w:val="22"/>
        </w:rPr>
        <w:t>TRV reported Q2 2026 Business Insurance net written premiums of $6.0B (record), up 5% YoY, with an underlying combined ratio of 88.2% (second-quarter record). This is a direct positive read-through for HIG's BI segment, which is expected to report ~$4.0B in written premiums and an ~88.4% UCR.</w:t>
      </w:r>
    </w:p>
    <w:p>
      <w:pPr>
        <w:pStyle w:val="ListBullet"/>
        <w:ind w:left="360" w:hanging="360"/>
      </w:pPr>
      <w:r>
        <w:rPr>
          <w:rFonts w:ascii="Calibri" w:hAnsi="Calibri"/>
          <w:b/>
          <w:color w:val="525866"/>
          <w:sz w:val="22"/>
        </w:rPr>
        <w:t xml:space="preserve">Pricing discipline holding: </w:t>
      </w:r>
      <w:r>
        <w:rPr>
          <w:rFonts w:ascii="Calibri" w:hAnsi="Calibri"/>
          <w:color w:val="525866"/>
          <w:sz w:val="22"/>
        </w:rPr>
        <w:t>TRV's renewal premium change (RPC) ex-property was 7.8% and about flat sequentially, with retention at 86% and new business a record $805M (+8% YoY). Small commercial RPC was 9.4% (up sequentially). This aligns with HIG's Q1 commentary that pricing ex-WC remained ~6% and GL pricing accelerated to 9.7%.</w:t>
      </w:r>
    </w:p>
    <w:p>
      <w:pPr>
        <w:pStyle w:val="ListBullet"/>
        <w:ind w:left="360" w:hanging="360"/>
      </w:pPr>
      <w:r>
        <w:rPr>
          <w:rFonts w:ascii="Calibri" w:hAnsi="Calibri"/>
          <w:b/>
          <w:color w:val="525866"/>
          <w:sz w:val="22"/>
        </w:rPr>
        <w:t xml:space="preserve">Favorable casualty reserve development: </w:t>
      </w:r>
      <w:r>
        <w:rPr>
          <w:rFonts w:ascii="Calibri" w:hAnsi="Calibri"/>
          <w:color w:val="525866"/>
          <w:sz w:val="22"/>
        </w:rPr>
        <w:t>TRV reported $578M of net favorable prior year development, with $319M in Business Insurance driven by workers' comp and commercial property. Critically, TRV stated it "did not see any pressure" in casualty lines (GL, umbrella, commercial auto) this quarter — a constructive read-through for HIG's reserve adequacy.</w:t>
      </w:r>
    </w:p>
    <w:p>
      <w:pPr>
        <w:pStyle w:val="ListBullet"/>
        <w:ind w:left="360" w:hanging="360"/>
      </w:pPr>
      <w:r>
        <w:rPr>
          <w:rFonts w:ascii="Calibri" w:hAnsi="Calibri"/>
          <w:b/>
          <w:color w:val="525866"/>
          <w:sz w:val="22"/>
        </w:rPr>
        <w:t xml:space="preserve">Workers' comp remains benign: </w:t>
      </w:r>
      <w:r>
        <w:rPr>
          <w:rFonts w:ascii="Calibri" w:hAnsi="Calibri"/>
          <w:color w:val="525866"/>
          <w:sz w:val="22"/>
        </w:rPr>
        <w:t>TRV noted workers' comp continues to show favorability in both frequency and severity, with no evidence of longer recovery times. This is positive for HIG, which has significant WC exposure and has been benefiting from favorable WC development.</w:t>
      </w:r>
    </w:p>
    <w:p>
      <w:pPr>
        <w:pStyle w:val="ListBullet"/>
        <w:ind w:left="360" w:hanging="360"/>
      </w:pPr>
      <w:r>
        <w:rPr>
          <w:rFonts w:ascii="Calibri" w:hAnsi="Calibri"/>
          <w:b/>
          <w:color w:val="525866"/>
          <w:sz w:val="22"/>
        </w:rPr>
        <w:t xml:space="preserve">NII growth trajectory: </w:t>
      </w:r>
      <w:r>
        <w:rPr>
          <w:rFonts w:ascii="Calibri" w:hAnsi="Calibri"/>
          <w:color w:val="525866"/>
          <w:sz w:val="22"/>
        </w:rPr>
        <w:t>TRV guided Q3 2026 fixed income NII to ~$840M and Q4 to ~$870M, confirming the industry-wide NII tailwind from reinvestment at higher rates. Positive read-through for HIG's NII guidance of FY2026 increase vs. 2025.</w:t>
      </w:r>
    </w:p>
    <w:p>
      <w:pPr>
        <w:pStyle w:val="ListBullet"/>
        <w:ind w:left="360" w:hanging="360"/>
      </w:pPr>
      <w:r>
        <w:rPr>
          <w:rFonts w:ascii="Calibri" w:hAnsi="Calibri"/>
          <w:b/>
          <w:color w:val="525866"/>
          <w:sz w:val="22"/>
        </w:rPr>
        <w:t xml:space="preserve">Property discipline: </w:t>
      </w:r>
      <w:r>
        <w:rPr>
          <w:rFonts w:ascii="Calibri" w:hAnsi="Calibri"/>
          <w:color w:val="525866"/>
          <w:sz w:val="22"/>
        </w:rPr>
        <w:t>TRV shed national property premium (down) while growing small commercial and middle market property. This mirrors HIG's strategy of growing small/middle market property (~10% target) while being disciplined in large account/E&amp;S.</w:t>
      </w:r>
    </w:p>
    <w:p>
      <w:pPr>
        <w:pStyle w:val="Heading3"/>
      </w:pPr>
      <w:r>
        <w:rPr>
          <w:rFonts w:ascii="Calibri" w:hAnsi="Calibri"/>
          <w:b/>
          <w:color w:val="3B4259"/>
          <w:sz w:val="24"/>
        </w:rPr>
        <w:t>Chubb (CB) — Q2 2026 Earnings (July 22, 2026)</w:t>
      </w:r>
    </w:p>
    <w:p>
      <w:r>
        <w:rPr>
          <w:rFonts w:ascii="Calibri" w:hAnsi="Calibri"/>
          <w:b/>
          <w:color w:val="525866"/>
          <w:sz w:val="22"/>
        </w:rPr>
        <w:t xml:space="preserve">Read-Through: </w:t>
      </w:r>
      <w:r>
        <w:rPr>
          <w:rFonts w:ascii="Calibri" w:hAnsi="Calibri"/>
          <w:b/>
          <w:color w:val="525866"/>
          <w:sz w:val="22"/>
        </w:rPr>
        <w:t>MIXED</w:t>
      </w:r>
      <w:r>
        <w:rPr>
          <w:rFonts w:ascii="Calibri" w:hAnsi="Calibri"/>
          <w:color w:val="525866"/>
          <w:sz w:val="22"/>
        </w:rPr>
        <w:t xml:space="preserve"> — Positive on underwriting results; cautionary on casualty loss cost inflation</w:t>
      </w:r>
    </w:p>
    <w:p>
      <w:pPr>
        <w:pStyle w:val="ListBullet"/>
        <w:ind w:left="360" w:hanging="360"/>
      </w:pPr>
      <w:r>
        <w:rPr>
          <w:rFonts w:ascii="Calibri" w:hAnsi="Calibri"/>
          <w:b/>
          <w:color w:val="525866"/>
          <w:sz w:val="22"/>
        </w:rPr>
        <w:t xml:space="preserve">Strong underwriting results: </w:t>
      </w:r>
      <w:r>
        <w:rPr>
          <w:rFonts w:ascii="Calibri" w:hAnsi="Calibri"/>
          <w:color w:val="525866"/>
          <w:sz w:val="22"/>
        </w:rPr>
        <w:t>CB reported Q2 2026 core operating EPS of $7.26 (+18.2% YoY) with PNC underwriting income of $1.9B (+19%) and a current accident year combined ratio ex-cats of 83.8%. Middle market and small commercial premiums grew 9% (PNC lines +12%). Broadly positive for the commercial P&amp;C environment.</w:t>
      </w:r>
    </w:p>
    <w:p>
      <w:pPr>
        <w:pStyle w:val="ListBullet"/>
        <w:ind w:left="360" w:hanging="360"/>
      </w:pPr>
      <w:r>
        <w:rPr>
          <w:rFonts w:ascii="Calibri" w:hAnsi="Calibri"/>
          <w:b/>
          <w:color w:val="525866"/>
          <w:sz w:val="22"/>
        </w:rPr>
        <w:t xml:space="preserve">Casualty loss costs remain elevated — key risk for HIG: </w:t>
      </w:r>
      <w:r>
        <w:rPr>
          <w:rFonts w:ascii="Calibri" w:hAnsi="Calibri"/>
          <w:color w:val="525866"/>
          <w:sz w:val="22"/>
        </w:rPr>
        <w:t>CB CEO Evan Greenberg stated U.S. casualty loss costs are rising at "6 to 7% for primary casualty and 9.5 to 12% for excess casualty" annually, with "zero evidence across the industry that loss costs have abated." This is a direct cautionary read-through for HIG's GL reserves and current accident year loss picks, particularly given HIG's Q1 legacy GL reserve charge.</w:t>
      </w:r>
    </w:p>
    <w:p>
      <w:pPr>
        <w:pStyle w:val="ListBullet"/>
        <w:ind w:left="360" w:hanging="360"/>
      </w:pPr>
      <w:r>
        <w:rPr>
          <w:rFonts w:ascii="Calibri" w:hAnsi="Calibri"/>
          <w:b/>
          <w:color w:val="525866"/>
          <w:sz w:val="22"/>
        </w:rPr>
        <w:t xml:space="preserve">Soft market spreading to casualty E&amp;S: </w:t>
      </w:r>
      <w:r>
        <w:rPr>
          <w:rFonts w:ascii="Calibri" w:hAnsi="Calibri"/>
          <w:color w:val="525866"/>
          <w:sz w:val="22"/>
        </w:rPr>
        <w:t>CB noted soft market conditions have "begun to spread beyond property to more casualty lines, particularly in E&amp;S," with newer players (financial lines MGAs, smaller companies) writing at inadequate prices and terms. HIG flagged similar MGA competition in Q1; this confirms the trend is intensifying.</w:t>
      </w:r>
    </w:p>
    <w:p>
      <w:pPr>
        <w:pStyle w:val="ListBullet"/>
        <w:ind w:left="360" w:hanging="360"/>
      </w:pPr>
      <w:r>
        <w:rPr>
          <w:rFonts w:ascii="Calibri" w:hAnsi="Calibri"/>
          <w:b/>
          <w:color w:val="525866"/>
          <w:sz w:val="22"/>
        </w:rPr>
        <w:t xml:space="preserve">Small/middle market property pricing positive: </w:t>
      </w:r>
      <w:r>
        <w:rPr>
          <w:rFonts w:ascii="Calibri" w:hAnsi="Calibri"/>
          <w:color w:val="525866"/>
          <w:sz w:val="22"/>
        </w:rPr>
        <w:t>CB reported middle market and small commercial property pricing up 2.3%, while large account/E&amp;S property was down 12% (and CB shed that volume). This directly validates HIG's strategy of growing small/middle market property at good margins while avoiding large account softening.</w:t>
      </w:r>
    </w:p>
    <w:p>
      <w:pPr>
        <w:pStyle w:val="ListBullet"/>
        <w:ind w:left="360" w:hanging="360"/>
      </w:pPr>
      <w:r>
        <w:rPr>
          <w:rFonts w:ascii="Calibri" w:hAnsi="Calibri"/>
          <w:b/>
          <w:color w:val="525866"/>
          <w:sz w:val="22"/>
        </w:rPr>
        <w:t xml:space="preserve">Worksite benefits growing at double digits: </w:t>
      </w:r>
      <w:r>
        <w:rPr>
          <w:rFonts w:ascii="Calibri" w:hAnsi="Calibri"/>
          <w:color w:val="525866"/>
          <w:sz w:val="22"/>
        </w:rPr>
        <w:t>CB's North America worksite benefits premiums were up 14%, with the company targeting double-digit growth organically. Positive read-through for HIG's Employee Benefits growth strategy, though CB is a smaller player in this space.</w:t>
      </w:r>
    </w:p>
    <w:p>
      <w:pPr>
        <w:pStyle w:val="ListBullet"/>
        <w:ind w:left="360" w:hanging="360"/>
      </w:pPr>
      <w:r>
        <w:rPr>
          <w:rFonts w:ascii="Calibri" w:hAnsi="Calibri"/>
          <w:b/>
          <w:color w:val="525866"/>
          <w:sz w:val="22"/>
        </w:rPr>
        <w:t xml:space="preserve">London market writing U.S. casualty: </w:t>
      </w:r>
      <w:r>
        <w:rPr>
          <w:rFonts w:ascii="Calibri" w:hAnsi="Calibri"/>
          <w:color w:val="525866"/>
          <w:sz w:val="22"/>
        </w:rPr>
        <w:t>CB flagged London is "actively writing U.S. casualty" at rates and terms that "can only end one way." This is a medium-term risk for the industry's casualty reserve adequacy, relevant to HIG's GL book.</w:t>
      </w:r>
    </w:p>
    <w:p>
      <w:pPr>
        <w:pStyle w:val="Heading3"/>
      </w:pPr>
      <w:r>
        <w:rPr>
          <w:rFonts w:ascii="Calibri" w:hAnsi="Calibri"/>
          <w:b/>
          <w:color w:val="3B4259"/>
          <w:sz w:val="24"/>
        </w:rPr>
        <w:t>W.R. Berkley (WRB) — Q2 2026 Earnings (July 20, 2026)</w:t>
      </w:r>
    </w:p>
    <w:p>
      <w:r>
        <w:rPr>
          <w:rFonts w:ascii="Calibri" w:hAnsi="Calibri"/>
          <w:b/>
          <w:color w:val="525866"/>
          <w:sz w:val="22"/>
        </w:rPr>
        <w:t xml:space="preserve">Read-Through: </w:t>
      </w:r>
      <w:r>
        <w:rPr>
          <w:rFonts w:ascii="Calibri" w:hAnsi="Calibri"/>
          <w:b/>
          <w:color w:val="525866"/>
          <w:sz w:val="22"/>
        </w:rPr>
        <w:t>MIXED</w:t>
      </w:r>
      <w:r>
        <w:rPr>
          <w:rFonts w:ascii="Calibri" w:hAnsi="Calibri"/>
          <w:color w:val="525866"/>
          <w:sz w:val="22"/>
        </w:rPr>
        <w:t xml:space="preserve"> — Constructive on casualty; cautionary on property and MGU model risks</w:t>
      </w:r>
    </w:p>
    <w:p>
      <w:pPr>
        <w:pStyle w:val="ListBullet"/>
        <w:ind w:left="360" w:hanging="360"/>
      </w:pPr>
      <w:r>
        <w:rPr>
          <w:rFonts w:ascii="Calibri" w:hAnsi="Calibri"/>
          <w:b/>
          <w:color w:val="525866"/>
          <w:sz w:val="22"/>
        </w:rPr>
        <w:t xml:space="preserve">Casualty market broadly attractive: </w:t>
      </w:r>
      <w:r>
        <w:rPr>
          <w:rFonts w:ascii="Calibri" w:hAnsi="Calibri"/>
          <w:color w:val="525866"/>
          <w:sz w:val="22"/>
        </w:rPr>
        <w:t>WRB described the "broader casualty market overall" as "attractive" with opportunities to deploy capital at "very attractive returns." Rate ex-WC was +3.8% for the quarter, with management noting no expectation of a "considerable" fall-off in pricing. Constructive for HIG's casualty-heavy BI book.</w:t>
      </w:r>
    </w:p>
    <w:p>
      <w:pPr>
        <w:pStyle w:val="ListBullet"/>
        <w:ind w:left="360" w:hanging="360"/>
      </w:pPr>
      <w:r>
        <w:rPr>
          <w:rFonts w:ascii="Calibri" w:hAnsi="Calibri"/>
          <w:b/>
          <w:color w:val="525866"/>
          <w:sz w:val="22"/>
        </w:rPr>
        <w:t xml:space="preserve">Property pricing eroding rapidly: </w:t>
      </w:r>
      <w:r>
        <w:rPr>
          <w:rFonts w:ascii="Calibri" w:hAnsi="Calibri"/>
          <w:color w:val="525866"/>
          <w:sz w:val="22"/>
        </w:rPr>
        <w:t>WRB warned that property pricing is "eroding rapidly" in reinsurance and that "Mother Nature is lulling the property market into a false sense of comfort." WRB's current accident year combined ratio ex-cats was 88.1% (calendar year 90%). The property softening risk is relevant to HIG's ~10% property premium growth target, though HIG is focused on small/middle market where pricing remains positive.</w:t>
      </w:r>
    </w:p>
    <w:p>
      <w:pPr>
        <w:pStyle w:val="ListBullet"/>
        <w:ind w:left="360" w:hanging="360"/>
      </w:pPr>
      <w:r>
        <w:rPr>
          <w:rFonts w:ascii="Calibri" w:hAnsi="Calibri"/>
          <w:b/>
          <w:color w:val="525866"/>
          <w:sz w:val="22"/>
        </w:rPr>
        <w:t xml:space="preserve">MGU model concerns: </w:t>
      </w:r>
      <w:r>
        <w:rPr>
          <w:rFonts w:ascii="Calibri" w:hAnsi="Calibri"/>
          <w:color w:val="525866"/>
          <w:sz w:val="22"/>
        </w:rPr>
        <w:t>WRB expressed "great concern" about the MGU/MGA model and "delegated authority and the lack of alignment of interests," warning it will "end in tears for some market participants." HIG flagged MGA competition in Q1; WRB's commentary confirms this is an industry-wide concern that could eventually benefit disciplined carriers like HIG.</w:t>
      </w:r>
    </w:p>
    <w:p>
      <w:pPr>
        <w:pStyle w:val="ListBullet"/>
        <w:ind w:left="360" w:hanging="360"/>
      </w:pPr>
      <w:r>
        <w:rPr>
          <w:rFonts w:ascii="Calibri" w:hAnsi="Calibri"/>
          <w:b/>
          <w:color w:val="525866"/>
          <w:sz w:val="22"/>
        </w:rPr>
        <w:t xml:space="preserve">California workers' comp deteriorating: </w:t>
      </w:r>
      <w:r>
        <w:rPr>
          <w:rFonts w:ascii="Calibri" w:hAnsi="Calibri"/>
          <w:color w:val="525866"/>
          <w:sz w:val="22"/>
        </w:rPr>
        <w:t>WRB highlighted California WC running at a "129" accident year combined ratio, with "early signs" of a shift in rate behavior. This is a watch item for HIG's WC book, though HIG has been benefiting from favorable WC development nationally.</w:t>
      </w:r>
    </w:p>
    <w:p>
      <w:pPr>
        <w:pStyle w:val="ListBullet"/>
        <w:ind w:left="360" w:hanging="360"/>
      </w:pPr>
      <w:r>
        <w:rPr>
          <w:rFonts w:ascii="Calibri" w:hAnsi="Calibri"/>
          <w:b/>
          <w:color w:val="525866"/>
          <w:sz w:val="22"/>
        </w:rPr>
        <w:t xml:space="preserve">Isolated casualty pockets of concern: </w:t>
      </w:r>
      <w:r>
        <w:rPr>
          <w:rFonts w:ascii="Calibri" w:hAnsi="Calibri"/>
          <w:color w:val="525866"/>
          <w:sz w:val="22"/>
        </w:rPr>
        <w:t>WRB called out habitational and liquor liability as areas where rates are being cut 20–30%, warning this "turns long tail lines into short tail lines." These are niche areas not core to HIG's book, but the broader message of selective casualty discipline is relevant.</w:t>
      </w:r>
    </w:p>
    <w:p>
      <w:pPr>
        <w:pStyle w:val="ListBullet"/>
        <w:ind w:left="360" w:hanging="360"/>
      </w:pPr>
      <w:r>
        <w:rPr>
          <w:rFonts w:ascii="Calibri" w:hAnsi="Calibri"/>
          <w:b/>
          <w:color w:val="525866"/>
          <w:sz w:val="22"/>
        </w:rPr>
        <w:t xml:space="preserve">Early July top-line encouraging: </w:t>
      </w:r>
      <w:r>
        <w:rPr>
          <w:rFonts w:ascii="Calibri" w:hAnsi="Calibri"/>
          <w:color w:val="525866"/>
          <w:sz w:val="22"/>
        </w:rPr>
        <w:t>WRB noted "early returns in July" are "reasonably encouraged as far as the top line," suggesting Q3 2026 is starting constructively for commercial P&amp;C writers including HIG.</w:t>
      </w:r>
    </w:p>
    <w:p>
      <w:pPr>
        <w:pStyle w:val="Heading3"/>
      </w:pPr>
      <w:r>
        <w:rPr>
          <w:rFonts w:ascii="Calibri" w:hAnsi="Calibri"/>
          <w:b/>
          <w:color w:val="3B4259"/>
          <w:sz w:val="24"/>
        </w:rPr>
        <w:t>CNA Financial (CNA) — Q1 2026 Earnings (May 3, 2026)</w:t>
      </w:r>
    </w:p>
    <w:p>
      <w:r>
        <w:rPr>
          <w:rFonts w:ascii="Calibri" w:hAnsi="Calibri"/>
          <w:b/>
          <w:color w:val="525866"/>
          <w:sz w:val="22"/>
        </w:rPr>
        <w:t xml:space="preserve">Read-Through: </w:t>
      </w:r>
      <w:r>
        <w:rPr>
          <w:rFonts w:ascii="Calibri" w:hAnsi="Calibri"/>
          <w:b/>
          <w:color w:val="E5484D"/>
          <w:sz w:val="22"/>
        </w:rPr>
        <w:t>CAUTIONARY</w:t>
      </w:r>
      <w:r>
        <w:rPr>
          <w:rFonts w:ascii="Calibri" w:hAnsi="Calibri"/>
          <w:color w:val="525866"/>
          <w:sz w:val="22"/>
        </w:rPr>
        <w:t xml:space="preserve"> on casualty loss trends; relevant to HIG's GL and excess casualty reserves</w:t>
      </w:r>
    </w:p>
    <w:p>
      <w:pPr>
        <w:pStyle w:val="ListBullet"/>
        <w:ind w:left="360" w:hanging="360"/>
      </w:pPr>
      <w:r>
        <w:rPr>
          <w:rFonts w:ascii="Calibri" w:hAnsi="Calibri"/>
          <w:b/>
          <w:color w:val="525866"/>
          <w:sz w:val="22"/>
        </w:rPr>
        <w:t xml:space="preserve">Social inflation not abating: </w:t>
      </w:r>
      <w:r>
        <w:rPr>
          <w:rFonts w:ascii="Calibri" w:hAnsi="Calibri"/>
          <w:color w:val="525866"/>
          <w:sz w:val="22"/>
        </w:rPr>
        <w:t>CNA stated it "does not anticipate social inflation abating" and increased loss cost trends modestly to "slightly above 7% for the P&amp;C portfolio overall." The increase was driven by excess casualty and affinity professional E&amp;O. This is a direct cautionary read-through for HIG's GL book, which already saw a $70M legacy reserve charge in Q1.</w:t>
      </w:r>
    </w:p>
    <w:p>
      <w:pPr>
        <w:pStyle w:val="ListBullet"/>
        <w:ind w:left="360" w:hanging="360"/>
      </w:pPr>
      <w:r>
        <w:rPr>
          <w:rFonts w:ascii="Calibri" w:hAnsi="Calibri"/>
          <w:b/>
          <w:color w:val="525866"/>
          <w:sz w:val="22"/>
        </w:rPr>
        <w:t xml:space="preserve">Excess casualty reserve strengthening: </w:t>
      </w:r>
      <w:r>
        <w:rPr>
          <w:rFonts w:ascii="Calibri" w:hAnsi="Calibri"/>
          <w:color w:val="525866"/>
          <w:sz w:val="22"/>
        </w:rPr>
        <w:t>CNA's Q1 loss development was "wholly driven by excess casualty in the recent accident years" due to "higher claim frequency and severity from the ongoing impacts of social inflation." CNA increased the excess casualty underlying loss ratio, reflecting "industry trends and substantial additional prudence." This is a cautionary signal for HIG's excess casualty reserves.</w:t>
      </w:r>
    </w:p>
    <w:p>
      <w:pPr>
        <w:pStyle w:val="ListBullet"/>
        <w:ind w:left="360" w:hanging="360"/>
      </w:pPr>
      <w:r>
        <w:rPr>
          <w:rFonts w:ascii="Calibri" w:hAnsi="Calibri"/>
          <w:b/>
          <w:color w:val="525866"/>
          <w:sz w:val="22"/>
        </w:rPr>
        <w:t xml:space="preserve">Workers' comp loss ratio increased: </w:t>
      </w:r>
      <w:r>
        <w:rPr>
          <w:rFonts w:ascii="Calibri" w:hAnsi="Calibri"/>
          <w:color w:val="525866"/>
          <w:sz w:val="22"/>
        </w:rPr>
        <w:t>CNA increased its WC loss ratio in the current accident year given "ongoing significant negative rate" coupled with "mid-single digit long-run loss cost trend assumptions." This is a watch item for HIG, though HIG has been more conservative in its WC pricing assumptions (5% severity assumption vs. actual 3–3.5%).</w:t>
      </w:r>
    </w:p>
    <w:p>
      <w:pPr>
        <w:pStyle w:val="ListBullet"/>
        <w:ind w:left="360" w:hanging="360"/>
      </w:pPr>
      <w:r>
        <w:rPr>
          <w:rFonts w:ascii="Calibri" w:hAnsi="Calibri"/>
          <w:b/>
          <w:color w:val="525866"/>
          <w:sz w:val="22"/>
        </w:rPr>
        <w:t xml:space="preserve">National accounts property irrational: </w:t>
      </w:r>
      <w:r>
        <w:rPr>
          <w:rFonts w:ascii="Calibri" w:hAnsi="Calibri"/>
          <w:color w:val="525866"/>
          <w:sz w:val="22"/>
        </w:rPr>
        <w:t>CNA saw NWP decline 14% in national accounts property due to "significant undisciplined market behavior" with rates down double-digits. Confirms HIG's decision to avoid large account property softening.</w:t>
      </w:r>
    </w:p>
    <w:p>
      <w:pPr>
        <w:pStyle w:val="ListBullet"/>
        <w:ind w:left="360" w:hanging="360"/>
      </w:pPr>
      <w:r>
        <w:rPr>
          <w:rFonts w:ascii="Calibri" w:hAnsi="Calibri"/>
          <w:b/>
          <w:color w:val="525866"/>
          <w:sz w:val="22"/>
        </w:rPr>
        <w:t xml:space="preserve">Underwriting actions take time: </w:t>
      </w:r>
      <w:r>
        <w:rPr>
          <w:rFonts w:ascii="Calibri" w:hAnsi="Calibri"/>
          <w:color w:val="525866"/>
          <w:sz w:val="22"/>
        </w:rPr>
        <w:t>CNA noted that underwriting actions implemented to address headwinds "will take time to translate into results" and is "not yet reflecting the potential beneficial impact." This is a broader industry message that casualty reserve adequacy concerns may persist through 2026.</w:t>
      </w:r>
    </w:p>
    <w:p>
      <w:pPr>
        <w:pStyle w:val="Heading3"/>
      </w:pPr>
      <w:r>
        <w:rPr>
          <w:rFonts w:ascii="Calibri" w:hAnsi="Calibri"/>
          <w:b/>
          <w:color w:val="3B4259"/>
          <w:sz w:val="24"/>
        </w:rPr>
        <w:t>AIG — Q1 2026 Earnings (May 1, 2026)</w:t>
      </w:r>
    </w:p>
    <w:p>
      <w:r>
        <w:rPr>
          <w:rFonts w:ascii="Calibri" w:hAnsi="Calibri"/>
          <w:b/>
          <w:color w:val="525866"/>
          <w:sz w:val="22"/>
        </w:rPr>
        <w:t xml:space="preserve">Read-Through: </w:t>
      </w:r>
      <w:r>
        <w:rPr>
          <w:rFonts w:ascii="Calibri" w:hAnsi="Calibri"/>
          <w:b/>
          <w:color w:val="525866"/>
          <w:sz w:val="22"/>
        </w:rPr>
        <w:t>MIXED</w:t>
      </w:r>
      <w:r>
        <w:rPr>
          <w:rFonts w:ascii="Calibri" w:hAnsi="Calibri"/>
          <w:color w:val="525866"/>
          <w:sz w:val="22"/>
        </w:rPr>
        <w:t xml:space="preserve"> — Positive on casualty pricing; cautionary on property and LP income</w:t>
      </w:r>
    </w:p>
    <w:p>
      <w:pPr>
        <w:pStyle w:val="ListBullet"/>
        <w:ind w:left="360" w:hanging="360"/>
      </w:pPr>
      <w:r>
        <w:rPr>
          <w:rFonts w:ascii="Calibri" w:hAnsi="Calibri"/>
          <w:b/>
          <w:color w:val="525866"/>
          <w:sz w:val="22"/>
        </w:rPr>
        <w:t xml:space="preserve">Casualty pricing favorable but under pressure: </w:t>
      </w:r>
      <w:r>
        <w:rPr>
          <w:rFonts w:ascii="Calibri" w:hAnsi="Calibri"/>
          <w:color w:val="525866"/>
          <w:sz w:val="22"/>
        </w:rPr>
        <w:t>AIG's North America Casualty renewal pricing was +7% (in line with loss cost trend), with retail Excess Casualty up 14% and Lexington Casualty up 8%. However, CEO Peter Zaffino noted casualty has "become a little bit more under pressure from rates" and will be watched "very carefully" in H2 2026. Relevant to HIG's GL and excess casualty pricing adequacy.</w:t>
      </w:r>
    </w:p>
    <w:p>
      <w:pPr>
        <w:pStyle w:val="ListBullet"/>
        <w:ind w:left="360" w:hanging="360"/>
      </w:pPr>
      <w:r>
        <w:rPr>
          <w:rFonts w:ascii="Calibri" w:hAnsi="Calibri"/>
          <w:b/>
          <w:color w:val="525866"/>
          <w:sz w:val="22"/>
        </w:rPr>
        <w:t xml:space="preserve">LP income headwind flagged: </w:t>
      </w:r>
      <w:r>
        <w:rPr>
          <w:rFonts w:ascii="Calibri" w:hAnsi="Calibri"/>
          <w:color w:val="525866"/>
          <w:sz w:val="22"/>
        </w:rPr>
        <w:t>AIG expected Q2 2026 alternative returns to "remain below expectations" due to market volatility in public markets during Q1. This is a direct read-through for HIG's LP income, which management also flagged as a near-term headwind due to geopolitical volatility. Supports the Street's modest NII estimate trim.</w:t>
      </w:r>
    </w:p>
    <w:p>
      <w:pPr>
        <w:pStyle w:val="ListBullet"/>
        <w:ind w:left="360" w:hanging="360"/>
      </w:pPr>
      <w:r>
        <w:rPr>
          <w:rFonts w:ascii="Calibri" w:hAnsi="Calibri"/>
          <w:b/>
          <w:color w:val="525866"/>
          <w:sz w:val="22"/>
        </w:rPr>
        <w:t xml:space="preserve">E&amp;S property contracting: </w:t>
      </w:r>
      <w:r>
        <w:rPr>
          <w:rFonts w:ascii="Calibri" w:hAnsi="Calibri"/>
          <w:color w:val="525866"/>
          <w:sz w:val="22"/>
        </w:rPr>
        <w:t>AIG is contracting its Lexington large account shared-and-layered E&amp;S property portfolio due to "significant pricing pressure" (North America Property pricing -11%). AIG expects this contraction to continue through 2026. Confirms HIG's strategy of avoiding this segment.</w:t>
      </w:r>
    </w:p>
    <w:p>
      <w:pPr>
        <w:pStyle w:val="ListBullet"/>
        <w:ind w:left="360" w:hanging="360"/>
      </w:pPr>
      <w:r>
        <w:rPr>
          <w:rFonts w:ascii="Calibri" w:hAnsi="Calibri"/>
          <w:b/>
          <w:color w:val="525866"/>
          <w:sz w:val="22"/>
        </w:rPr>
        <w:t xml:space="preserve">Low-to-mid-teens NWP growth target maintained: </w:t>
      </w:r>
      <w:r>
        <w:rPr>
          <w:rFonts w:ascii="Calibri" w:hAnsi="Calibri"/>
          <w:color w:val="525866"/>
          <w:sz w:val="22"/>
        </w:rPr>
        <w:t>AIG maintained its FY2026 General Insurance NWP growth target of "low to mid-teens," with earned premium growth expected to benefit H2 2026 and 2027. Positive for the overall commercial P&amp;C growth environment.</w:t>
      </w:r>
    </w:p>
    <w:p>
      <w:pPr>
        <w:pStyle w:val="Heading3"/>
      </w:pPr>
      <w:r>
        <w:rPr>
          <w:rFonts w:ascii="Calibri" w:hAnsi="Calibri"/>
          <w:b/>
          <w:color w:val="3B4259"/>
          <w:sz w:val="24"/>
        </w:rPr>
        <w:t>MetLife (MET) — Q1 2026 Earnings (May 7, 2026)</w:t>
      </w:r>
    </w:p>
    <w:p>
      <w:r>
        <w:rPr>
          <w:rFonts w:ascii="Calibri" w:hAnsi="Calibri"/>
          <w:b/>
          <w:color w:val="525866"/>
          <w:sz w:val="22"/>
        </w:rPr>
        <w:t xml:space="preserve">Read-Through: </w:t>
      </w:r>
      <w:r>
        <w:rPr>
          <w:rFonts w:ascii="Calibri" w:hAnsi="Calibri"/>
          <w:b/>
          <w:color w:val="30A46C"/>
          <w:sz w:val="22"/>
        </w:rPr>
        <w:t>CONSTRUCTIVE</w:t>
      </w:r>
      <w:r>
        <w:rPr>
          <w:rFonts w:ascii="Calibri" w:hAnsi="Calibri"/>
          <w:color w:val="525866"/>
          <w:sz w:val="22"/>
        </w:rPr>
        <w:t xml:space="preserve"> for HIG Group Benefits H2 2026 outlook</w:t>
      </w:r>
    </w:p>
    <w:p>
      <w:pPr>
        <w:pStyle w:val="ListBullet"/>
        <w:ind w:left="360" w:hanging="360"/>
      </w:pPr>
      <w:r>
        <w:rPr>
          <w:rFonts w:ascii="Calibri" w:hAnsi="Calibri"/>
          <w:b/>
          <w:color w:val="525866"/>
          <w:sz w:val="22"/>
        </w:rPr>
        <w:t xml:space="preserve">New-state PFL claims expected to moderate in H2: </w:t>
      </w:r>
      <w:r>
        <w:rPr>
          <w:rFonts w:ascii="Calibri" w:hAnsi="Calibri"/>
          <w:color w:val="525866"/>
          <w:sz w:val="22"/>
        </w:rPr>
        <w:t>MET experienced higher disability claims in Q1 from "new state-mandated paid family leave programs," noting these programs have "higher upfront claims that tend to normalize." MET expects the impact to "moderate in the second half of the year." This is a direct positive read-through for HIG's Group Benefits, which saw the same dynamic in Q1 (Maine PFL went live in May).</w:t>
      </w:r>
    </w:p>
    <w:p>
      <w:pPr>
        <w:pStyle w:val="ListBullet"/>
        <w:ind w:left="360" w:hanging="360"/>
      </w:pPr>
      <w:r>
        <w:rPr>
          <w:rFonts w:ascii="Calibri" w:hAnsi="Calibri"/>
          <w:b/>
          <w:color w:val="525866"/>
          <w:sz w:val="22"/>
        </w:rPr>
        <w:t xml:space="preserve">LTD severity not a trend: </w:t>
      </w:r>
      <w:r>
        <w:rPr>
          <w:rFonts w:ascii="Calibri" w:hAnsi="Calibri"/>
          <w:color w:val="525866"/>
          <w:sz w:val="22"/>
        </w:rPr>
        <w:t>MET saw "slightly elevated severity in LTD" YoY but noted it was "flat over the last 3 quarters" sequentially, concluding there is "no evidence of a trend" meriting overall repricing. This is constructive for HIG's LTD book, which also saw elevated severity in Q1 that management attributed to "reversion to the mean."</w:t>
      </w:r>
    </w:p>
    <w:p>
      <w:pPr>
        <w:pStyle w:val="ListBullet"/>
        <w:ind w:left="360" w:hanging="360"/>
      </w:pPr>
      <w:r>
        <w:rPr>
          <w:rFonts w:ascii="Calibri" w:hAnsi="Calibri"/>
          <w:b/>
          <w:color w:val="525866"/>
          <w:sz w:val="22"/>
        </w:rPr>
        <w:t xml:space="preserve">Group Benefits competitive but differentiated: </w:t>
      </w:r>
      <w:r>
        <w:rPr>
          <w:rFonts w:ascii="Calibri" w:hAnsi="Calibri"/>
          <w:color w:val="525866"/>
          <w:sz w:val="22"/>
        </w:rPr>
        <w:t>MET noted it operates in a "competitive environment" but has a "value proposition that's resonating" and can differentiate "on factors beyond price." Strong sales momentum across core and voluntary products. Positive for the overall Group Benefits market growth environment.</w:t>
      </w:r>
    </w:p>
    <w:p>
      <w:pPr>
        <w:pStyle w:val="ListBullet"/>
        <w:ind w:left="360" w:hanging="360"/>
      </w:pPr>
      <w:r>
        <w:rPr>
          <w:rFonts w:ascii="Calibri" w:hAnsi="Calibri"/>
          <w:b/>
          <w:color w:val="525866"/>
          <w:sz w:val="22"/>
        </w:rPr>
        <w:t xml:space="preserve">Repricing actions underway: </w:t>
      </w:r>
      <w:r>
        <w:rPr>
          <w:rFonts w:ascii="Calibri" w:hAnsi="Calibri"/>
          <w:color w:val="525866"/>
          <w:sz w:val="22"/>
        </w:rPr>
        <w:t>MET noted it can reprice ~50% of its disability book annually and is taking pricing actions on PFL as experience becomes credible. HIG is similarly taking double-digit rate increases on PFL. Confirms the industry is responding to elevated utilization with pricing discipline.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HIG Segment</w:t>
            </w:r>
          </w:p>
        </w:tc>
        <w:tc>
          <w:tcPr>
            <w:tcW w:type="dxa" w:w="1728"/>
            <w:shd w:val="clear" w:color="auto" w:fill="3B4259"/>
          </w:tcPr>
          <w:p>
            <w:r>
              <w:rPr>
                <w:rFonts w:ascii="Calibri" w:hAnsi="Calibri"/>
                <w:b/>
                <w:color w:val="FFFFFF"/>
                <w:sz w:val="22"/>
              </w:rPr>
              <w:t>Read-Through Signal</w:t>
            </w:r>
          </w:p>
        </w:tc>
        <w:tc>
          <w:tcPr>
            <w:tcW w:type="dxa" w:w="1728"/>
            <w:shd w:val="clear" w:color="auto" w:fill="3B4259"/>
          </w:tcPr>
          <w:p>
            <w:r>
              <w:rPr>
                <w:rFonts w:ascii="Calibri" w:hAnsi="Calibri"/>
                <w:b/>
                <w:color w:val="FFFFFF"/>
                <w:sz w:val="22"/>
              </w:rPr>
              <w:t>Key Implication for HIG Q2</w:t>
            </w:r>
          </w:p>
        </w:tc>
      </w:tr>
      <w:tr>
        <w:tc>
          <w:tcPr>
            <w:tcW w:type="dxa" w:w="1728"/>
          </w:tcPr>
          <w:p>
            <w:r>
              <w:rPr>
                <w:rFonts w:ascii="Calibri" w:hAnsi="Calibri"/>
                <w:sz w:val="22"/>
              </w:rPr>
              <w:t>TRV</w:t>
            </w:r>
          </w:p>
        </w:tc>
        <w:tc>
          <w:tcPr>
            <w:tcW w:type="dxa" w:w="1728"/>
          </w:tcPr>
          <w:p>
            <w:r>
              <w:rPr>
                <w:rFonts w:ascii="Calibri" w:hAnsi="Calibri"/>
                <w:sz w:val="22"/>
              </w:rPr>
              <w:t>Jul 17, 2026 (Q2)</w:t>
            </w:r>
          </w:p>
        </w:tc>
        <w:tc>
          <w:tcPr>
            <w:tcW w:type="dxa" w:w="1728"/>
          </w:tcPr>
          <w:p>
            <w:r>
              <w:rPr>
                <w:rFonts w:ascii="Calibri" w:hAnsi="Calibri"/>
                <w:sz w:val="22"/>
              </w:rPr>
              <w:t>Business Insurance</w:t>
            </w:r>
          </w:p>
        </w:tc>
        <w:tc>
          <w:tcPr>
            <w:tcW w:type="dxa" w:w="1728"/>
          </w:tcPr>
          <w:p>
            <w:r>
              <w:rPr>
                <w:rFonts w:ascii="Calibri" w:hAnsi="Calibri"/>
                <w:b/>
                <w:color w:val="30A46C"/>
                <w:sz w:val="22"/>
              </w:rPr>
              <w:t>Strongly Positive</w:t>
            </w:r>
          </w:p>
        </w:tc>
        <w:tc>
          <w:tcPr>
            <w:tcW w:type="dxa" w:w="1728"/>
          </w:tcPr>
          <w:p>
            <w:r>
              <w:rPr>
                <w:rFonts w:ascii="Calibri" w:hAnsi="Calibri"/>
                <w:sz w:val="22"/>
              </w:rPr>
              <w:t>Record BI UCR 88.2%; favorable WC/property reserves; pricing discipline holding</w:t>
            </w:r>
          </w:p>
        </w:tc>
      </w:tr>
      <w:tr>
        <w:tc>
          <w:tcPr>
            <w:tcW w:type="dxa" w:w="1728"/>
          </w:tcPr>
          <w:p>
            <w:r>
              <w:rPr>
                <w:rFonts w:ascii="Calibri" w:hAnsi="Calibri"/>
                <w:sz w:val="22"/>
              </w:rPr>
              <w:t>CB</w:t>
            </w:r>
          </w:p>
        </w:tc>
        <w:tc>
          <w:tcPr>
            <w:tcW w:type="dxa" w:w="1728"/>
          </w:tcPr>
          <w:p>
            <w:r>
              <w:rPr>
                <w:rFonts w:ascii="Calibri" w:hAnsi="Calibri"/>
                <w:sz w:val="22"/>
              </w:rPr>
              <w:t>Jul 22, 2026 (Q2)</w:t>
            </w:r>
          </w:p>
        </w:tc>
        <w:tc>
          <w:tcPr>
            <w:tcW w:type="dxa" w:w="1728"/>
          </w:tcPr>
          <w:p>
            <w:r>
              <w:rPr>
                <w:rFonts w:ascii="Calibri" w:hAnsi="Calibri"/>
                <w:sz w:val="22"/>
              </w:rPr>
              <w:t>Business Insurance / GL Reserves</w:t>
            </w:r>
          </w:p>
        </w:tc>
        <w:tc>
          <w:tcPr>
            <w:tcW w:type="dxa" w:w="1728"/>
          </w:tcPr>
          <w:p>
            <w:r>
              <w:rPr>
                <w:rFonts w:ascii="Calibri" w:hAnsi="Calibri"/>
                <w:b/>
                <w:sz w:val="22"/>
              </w:rPr>
              <w:t>Mixed</w:t>
            </w:r>
          </w:p>
        </w:tc>
        <w:tc>
          <w:tcPr>
            <w:tcW w:type="dxa" w:w="1728"/>
          </w:tcPr>
          <w:p>
            <w:r>
              <w:rPr>
                <w:rFonts w:ascii="Calibri" w:hAnsi="Calibri"/>
                <w:sz w:val="22"/>
              </w:rPr>
              <w:t>Strong underwriting; but casualty loss costs 6–12% annually with zero abatement</w:t>
            </w:r>
          </w:p>
        </w:tc>
      </w:tr>
      <w:tr>
        <w:tc>
          <w:tcPr>
            <w:tcW w:type="dxa" w:w="1728"/>
          </w:tcPr>
          <w:p>
            <w:r>
              <w:rPr>
                <w:rFonts w:ascii="Calibri" w:hAnsi="Calibri"/>
                <w:sz w:val="22"/>
              </w:rPr>
              <w:t>WRB</w:t>
            </w:r>
          </w:p>
        </w:tc>
        <w:tc>
          <w:tcPr>
            <w:tcW w:type="dxa" w:w="1728"/>
          </w:tcPr>
          <w:p>
            <w:r>
              <w:rPr>
                <w:rFonts w:ascii="Calibri" w:hAnsi="Calibri"/>
                <w:sz w:val="22"/>
              </w:rPr>
              <w:t>Jul 20, 2026 (Q2)</w:t>
            </w:r>
          </w:p>
        </w:tc>
        <w:tc>
          <w:tcPr>
            <w:tcW w:type="dxa" w:w="1728"/>
          </w:tcPr>
          <w:p>
            <w:r>
              <w:rPr>
                <w:rFonts w:ascii="Calibri" w:hAnsi="Calibri"/>
                <w:sz w:val="22"/>
              </w:rPr>
              <w:t>Business Insurance / Property</w:t>
            </w:r>
          </w:p>
        </w:tc>
        <w:tc>
          <w:tcPr>
            <w:tcW w:type="dxa" w:w="1728"/>
          </w:tcPr>
          <w:p>
            <w:r>
              <w:rPr>
                <w:rFonts w:ascii="Calibri" w:hAnsi="Calibri"/>
                <w:b/>
                <w:sz w:val="22"/>
              </w:rPr>
              <w:t>Mixed</w:t>
            </w:r>
          </w:p>
        </w:tc>
        <w:tc>
          <w:tcPr>
            <w:tcW w:type="dxa" w:w="1728"/>
          </w:tcPr>
          <w:p>
            <w:r>
              <w:rPr>
                <w:rFonts w:ascii="Calibri" w:hAnsi="Calibri"/>
                <w:sz w:val="22"/>
              </w:rPr>
              <w:t>Casualty attractive; property eroding rapidly; MGA model risk building</w:t>
            </w:r>
          </w:p>
        </w:tc>
      </w:tr>
      <w:tr>
        <w:tc>
          <w:tcPr>
            <w:tcW w:type="dxa" w:w="1728"/>
          </w:tcPr>
          <w:p>
            <w:r>
              <w:rPr>
                <w:rFonts w:ascii="Calibri" w:hAnsi="Calibri"/>
                <w:sz w:val="22"/>
              </w:rPr>
              <w:t>CNA</w:t>
            </w:r>
          </w:p>
        </w:tc>
        <w:tc>
          <w:tcPr>
            <w:tcW w:type="dxa" w:w="1728"/>
          </w:tcPr>
          <w:p>
            <w:r>
              <w:rPr>
                <w:rFonts w:ascii="Calibri" w:hAnsi="Calibri"/>
                <w:sz w:val="22"/>
              </w:rPr>
              <w:t>May 3, 2026 (Q1)</w:t>
            </w:r>
          </w:p>
        </w:tc>
        <w:tc>
          <w:tcPr>
            <w:tcW w:type="dxa" w:w="1728"/>
          </w:tcPr>
          <w:p>
            <w:r>
              <w:rPr>
                <w:rFonts w:ascii="Calibri" w:hAnsi="Calibri"/>
                <w:sz w:val="22"/>
              </w:rPr>
              <w:t>GL / Excess Casualty Reserves</w:t>
            </w:r>
          </w:p>
        </w:tc>
        <w:tc>
          <w:tcPr>
            <w:tcW w:type="dxa" w:w="1728"/>
          </w:tcPr>
          <w:p>
            <w:r>
              <w:rPr>
                <w:rFonts w:ascii="Calibri" w:hAnsi="Calibri"/>
                <w:b/>
                <w:color w:val="E5484D"/>
                <w:sz w:val="22"/>
              </w:rPr>
              <w:t>Cautionary</w:t>
            </w:r>
          </w:p>
        </w:tc>
        <w:tc>
          <w:tcPr>
            <w:tcW w:type="dxa" w:w="1728"/>
          </w:tcPr>
          <w:p>
            <w:r>
              <w:rPr>
                <w:rFonts w:ascii="Calibri" w:hAnsi="Calibri"/>
                <w:sz w:val="22"/>
              </w:rPr>
              <w:t>Social inflation not abating; excess casualty reserve strengthening; loss cost trends &gt;7%</w:t>
            </w:r>
          </w:p>
        </w:tc>
      </w:tr>
      <w:tr>
        <w:tc>
          <w:tcPr>
            <w:tcW w:type="dxa" w:w="1728"/>
          </w:tcPr>
          <w:p>
            <w:r>
              <w:rPr>
                <w:rFonts w:ascii="Calibri" w:hAnsi="Calibri"/>
                <w:sz w:val="22"/>
              </w:rPr>
              <w:t>AIG</w:t>
            </w:r>
          </w:p>
        </w:tc>
        <w:tc>
          <w:tcPr>
            <w:tcW w:type="dxa" w:w="1728"/>
          </w:tcPr>
          <w:p>
            <w:r>
              <w:rPr>
                <w:rFonts w:ascii="Calibri" w:hAnsi="Calibri"/>
                <w:sz w:val="22"/>
              </w:rPr>
              <w:t>May 1, 2026 (Q1)</w:t>
            </w:r>
          </w:p>
        </w:tc>
        <w:tc>
          <w:tcPr>
            <w:tcW w:type="dxa" w:w="1728"/>
          </w:tcPr>
          <w:p>
            <w:r>
              <w:rPr>
                <w:rFonts w:ascii="Calibri" w:hAnsi="Calibri"/>
                <w:sz w:val="22"/>
              </w:rPr>
              <w:t>Business Insurance / NII</w:t>
            </w:r>
          </w:p>
        </w:tc>
        <w:tc>
          <w:tcPr>
            <w:tcW w:type="dxa" w:w="1728"/>
          </w:tcPr>
          <w:p>
            <w:r>
              <w:rPr>
                <w:rFonts w:ascii="Calibri" w:hAnsi="Calibri"/>
                <w:b/>
                <w:sz w:val="22"/>
              </w:rPr>
              <w:t>Mixed</w:t>
            </w:r>
          </w:p>
        </w:tc>
        <w:tc>
          <w:tcPr>
            <w:tcW w:type="dxa" w:w="1728"/>
          </w:tcPr>
          <w:p>
            <w:r>
              <w:rPr>
                <w:rFonts w:ascii="Calibri" w:hAnsi="Calibri"/>
                <w:sz w:val="22"/>
              </w:rPr>
              <w:t>Casualty pricing adequate; LP income headwind in Q2; E&amp;S property contracting</w:t>
            </w:r>
          </w:p>
        </w:tc>
      </w:tr>
      <w:tr>
        <w:tc>
          <w:tcPr>
            <w:tcW w:type="dxa" w:w="1728"/>
          </w:tcPr>
          <w:p>
            <w:r>
              <w:rPr>
                <w:rFonts w:ascii="Calibri" w:hAnsi="Calibri"/>
                <w:sz w:val="22"/>
              </w:rPr>
              <w:t>MET</w:t>
            </w:r>
          </w:p>
        </w:tc>
        <w:tc>
          <w:tcPr>
            <w:tcW w:type="dxa" w:w="1728"/>
          </w:tcPr>
          <w:p>
            <w:r>
              <w:rPr>
                <w:rFonts w:ascii="Calibri" w:hAnsi="Calibri"/>
                <w:sz w:val="22"/>
              </w:rPr>
              <w:t>May 7, 2026 (Q1)</w:t>
            </w:r>
          </w:p>
        </w:tc>
        <w:tc>
          <w:tcPr>
            <w:tcW w:type="dxa" w:w="1728"/>
          </w:tcPr>
          <w:p>
            <w:r>
              <w:rPr>
                <w:rFonts w:ascii="Calibri" w:hAnsi="Calibri"/>
                <w:sz w:val="22"/>
              </w:rPr>
              <w:t>Group Benefits / Disability</w:t>
            </w:r>
          </w:p>
        </w:tc>
        <w:tc>
          <w:tcPr>
            <w:tcW w:type="dxa" w:w="1728"/>
          </w:tcPr>
          <w:p>
            <w:r>
              <w:rPr>
                <w:rFonts w:ascii="Calibri" w:hAnsi="Calibri"/>
                <w:b/>
                <w:color w:val="30A46C"/>
                <w:sz w:val="22"/>
              </w:rPr>
              <w:t>Constructive</w:t>
            </w:r>
          </w:p>
        </w:tc>
        <w:tc>
          <w:tcPr>
            <w:tcW w:type="dxa" w:w="1728"/>
          </w:tcPr>
          <w:p>
            <w:r>
              <w:rPr>
                <w:rFonts w:ascii="Calibri" w:hAnsi="Calibri"/>
                <w:sz w:val="22"/>
              </w:rPr>
              <w:t>New-state PFL claims to moderate in H2; LTD severity not a trend; strong sales</w:t>
            </w:r>
          </w:p>
        </w:tc>
      </w:tr>
    </w:tbl>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post-Q1 development is the </w:t>
      </w:r>
      <w:r>
        <w:rPr>
          <w:rFonts w:ascii="Calibri" w:hAnsi="Calibri"/>
          <w:b/>
          <w:color w:val="525866"/>
          <w:sz w:val="22"/>
        </w:rPr>
        <w:t>strong peer read-throughs from TRV and CB Q2 prints</w:t>
      </w:r>
      <w:r>
        <w:rPr>
          <w:rFonts w:ascii="Calibri" w:hAnsi="Calibri"/>
          <w:color w:val="525866"/>
          <w:sz w:val="22"/>
        </w:rPr>
        <w:t xml:space="preserve"> (both reported this week), which confirm a healthy commercial P&amp;C underwriting environment heading into HIG's July 24 print. The only company-specific news was a routine board appointment.</w:t>
      </w:r>
    </w:p>
    <w:p>
      <w:pPr>
        <w:pStyle w:val="ListBullet"/>
        <w:ind w:left="360" w:hanging="360"/>
      </w:pPr>
      <w:r>
        <w:rPr>
          <w:rFonts w:ascii="Calibri" w:hAnsi="Calibri"/>
          <w:b/>
          <w:color w:val="525866"/>
          <w:sz w:val="22"/>
        </w:rPr>
        <w:t xml:space="preserve">July 22, 2026 — Chubb (CB) Q2 2026 Earnings: </w:t>
      </w:r>
      <w:r>
        <w:rPr>
          <w:rFonts w:ascii="Calibri" w:hAnsi="Calibri"/>
          <w:color w:val="525866"/>
          <w:sz w:val="22"/>
        </w:rPr>
        <w:t xml:space="preserve">CB reported core operating EPS of $7.26 (+18.2% YoY) with PNC underwriting income up 19% and a current accident year combined ratio ex-cats of 83.8%. Middle market and small commercial premiums grew 9%. </w:t>
      </w:r>
    </w:p>
    <w:p>
      <w:pPr>
        <w:pStyle w:val="ListBullet"/>
        <w:ind w:left="360" w:hanging="360"/>
      </w:pPr>
      <w:r>
        <w:rPr>
          <w:rFonts w:ascii="Calibri" w:hAnsi="Calibri"/>
          <w:i/>
          <w:color w:val="525866"/>
          <w:sz w:val="22"/>
        </w:rPr>
        <w:t xml:space="preserve">Implication: </w:t>
      </w:r>
      <w:r>
        <w:rPr>
          <w:rFonts w:ascii="Calibri" w:hAnsi="Calibri"/>
          <w:i/>
          <w:color w:val="525866"/>
          <w:sz w:val="22"/>
        </w:rPr>
        <w:t>Strongest positive read-through for HIG's BI segment; confirms commercial P&amp;C pricing discipline and favorable underwriting environment. However, CB's warning on casualty loss costs (6–12% annually, no abatement) is a cautionary signal for HIG's GL reserves.</w:t>
      </w:r>
    </w:p>
    <w:p>
      <w:pPr>
        <w:pStyle w:val="ListBullet"/>
        <w:ind w:left="360" w:hanging="360"/>
      </w:pPr>
      <w:r>
        <w:rPr>
          <w:rFonts w:ascii="Calibri" w:hAnsi="Calibri"/>
          <w:b/>
          <w:color w:val="525866"/>
          <w:sz w:val="22"/>
        </w:rPr>
        <w:t xml:space="preserve">July 20, 2026 — W.R. Berkley (WRB) Q2 2026 Earnings: </w:t>
      </w:r>
      <w:r>
        <w:rPr>
          <w:rFonts w:ascii="Calibri" w:hAnsi="Calibri"/>
          <w:color w:val="525866"/>
          <w:sz w:val="22"/>
        </w:rPr>
        <w:t xml:space="preserve">WRB reported current accident year combined ratio ex-cats of 88.1% with gross premiums written up 5.4% to a record $3.8B. Rate ex-WC was +3.8%. </w:t>
      </w:r>
    </w:p>
    <w:p>
      <w:pPr>
        <w:pStyle w:val="ListBullet"/>
        <w:ind w:left="360" w:hanging="360"/>
      </w:pPr>
      <w:r>
        <w:rPr>
          <w:rFonts w:ascii="Calibri" w:hAnsi="Calibri"/>
          <w:i/>
          <w:color w:val="525866"/>
          <w:sz w:val="22"/>
        </w:rPr>
        <w:t xml:space="preserve">Implication: </w:t>
      </w:r>
      <w:r>
        <w:rPr>
          <w:rFonts w:ascii="Calibri" w:hAnsi="Calibri"/>
          <w:i/>
          <w:color w:val="525866"/>
          <w:sz w:val="22"/>
        </w:rPr>
        <w:t>Constructive for HIG's casualty book; cautionary on property pricing erosion and MGA model risks.</w:t>
      </w:r>
    </w:p>
    <w:p>
      <w:pPr>
        <w:pStyle w:val="ListBullet"/>
        <w:ind w:left="360" w:hanging="360"/>
      </w:pPr>
      <w:r>
        <w:rPr>
          <w:rFonts w:ascii="Calibri" w:hAnsi="Calibri"/>
          <w:b/>
          <w:color w:val="525866"/>
          <w:sz w:val="22"/>
        </w:rPr>
        <w:t xml:space="preserve">July 17, 2026 — Travelers (TRV) Q2 2026 Earnings: </w:t>
      </w:r>
      <w:r>
        <w:rPr>
          <w:rFonts w:ascii="Calibri" w:hAnsi="Calibri"/>
          <w:color w:val="525866"/>
          <w:sz w:val="22"/>
        </w:rPr>
        <w:t xml:space="preserve">TRV reported record BI NWP of $6.0B (+5% YoY), underlying combined ratio of 88.2% (second-quarter record), and $578M of net favorable prior year development. No casualty reserve pressure observed. </w:t>
      </w:r>
    </w:p>
    <w:p>
      <w:pPr>
        <w:pStyle w:val="ListBullet"/>
        <w:ind w:left="360" w:hanging="360"/>
      </w:pPr>
      <w:r>
        <w:rPr>
          <w:rFonts w:ascii="Calibri" w:hAnsi="Calibri"/>
          <w:i/>
          <w:color w:val="525866"/>
          <w:sz w:val="22"/>
        </w:rPr>
        <w:t xml:space="preserve">Implication: </w:t>
      </w:r>
      <w:r>
        <w:rPr>
          <w:rFonts w:ascii="Calibri" w:hAnsi="Calibri"/>
          <w:i/>
          <w:color w:val="525866"/>
          <w:sz w:val="22"/>
        </w:rPr>
        <w:t>Strongest direct read-through for HIG's BI segment; favorable WC and property reserve development is a positive signal for HIG's reserve adequacy.</w:t>
      </w:r>
    </w:p>
    <w:p>
      <w:pPr>
        <w:pStyle w:val="ListBullet"/>
        <w:ind w:left="360" w:hanging="360"/>
      </w:pPr>
      <w:r>
        <w:rPr>
          <w:rFonts w:ascii="Calibri" w:hAnsi="Calibri"/>
          <w:b/>
          <w:color w:val="525866"/>
          <w:sz w:val="22"/>
        </w:rPr>
        <w:t xml:space="preserve">July 15, 2026 — Board Appointment (8-K): </w:t>
      </w:r>
      <w:r>
        <w:rPr>
          <w:rFonts w:ascii="Calibri" w:hAnsi="Calibri"/>
          <w:color w:val="525866"/>
          <w:sz w:val="22"/>
        </w:rPr>
        <w:t xml:space="preserve">The Hartford appointed Randy Larsen to its Board of Directors and key committees. </w:t>
      </w:r>
    </w:p>
    <w:p>
      <w:pPr>
        <w:pStyle w:val="ListBullet"/>
        <w:ind w:left="360" w:hanging="360"/>
      </w:pPr>
      <w:r>
        <w:rPr>
          <w:rFonts w:ascii="Calibri" w:hAnsi="Calibri"/>
          <w:i/>
          <w:color w:val="525866"/>
          <w:sz w:val="22"/>
        </w:rPr>
        <w:t xml:space="preserve">Implication: </w:t>
      </w:r>
      <w:r>
        <w:rPr>
          <w:rFonts w:ascii="Calibri" w:hAnsi="Calibri"/>
          <w:i/>
          <w:color w:val="525866"/>
          <w:sz w:val="22"/>
        </w:rPr>
        <w:t>Routine governance action; no earnings impact.</w:t>
      </w:r>
    </w:p>
    <w:p>
      <w:pPr>
        <w:pStyle w:val="ListBullet"/>
        <w:ind w:left="360" w:hanging="360"/>
      </w:pPr>
      <w:r>
        <w:rPr>
          <w:rFonts w:ascii="Calibri" w:hAnsi="Calibri"/>
          <w:b/>
          <w:color w:val="525866"/>
          <w:sz w:val="22"/>
        </w:rPr>
        <w:t xml:space="preserve">May 7, 2026 — MetLife (MET) Q1 2026 Earnings: </w:t>
      </w:r>
      <w:r>
        <w:rPr>
          <w:rFonts w:ascii="Calibri" w:hAnsi="Calibri"/>
          <w:color w:val="525866"/>
          <w:sz w:val="22"/>
        </w:rPr>
        <w:t xml:space="preserve">MET reported higher disability claims from new-state PFL programs but expects the impact to moderate in H2 2026. LTD severity elevated YoY but flat sequentially over 3 quarters. </w:t>
      </w:r>
    </w:p>
    <w:p>
      <w:pPr>
        <w:pStyle w:val="ListBullet"/>
        <w:ind w:left="360" w:hanging="360"/>
      </w:pPr>
      <w:r>
        <w:rPr>
          <w:rFonts w:ascii="Calibri" w:hAnsi="Calibri"/>
          <w:i/>
          <w:color w:val="525866"/>
          <w:sz w:val="22"/>
        </w:rPr>
        <w:t xml:space="preserve">Implication: </w:t>
      </w:r>
      <w:r>
        <w:rPr>
          <w:rFonts w:ascii="Calibri" w:hAnsi="Calibri"/>
          <w:i/>
          <w:color w:val="525866"/>
          <w:sz w:val="22"/>
        </w:rPr>
        <w:t>Constructive read-through for HIG's Group Benefits Q2 outlook; new-state PFL pent-up demand should moderate, supporting margin recovery from Q1's 6.9%.</w:t>
      </w:r>
    </w:p>
    <w:p>
      <w:pPr>
        <w:pStyle w:val="ListBullet"/>
        <w:ind w:left="360" w:hanging="360"/>
      </w:pPr>
      <w:r>
        <w:rPr>
          <w:rFonts w:ascii="Calibri" w:hAnsi="Calibri"/>
          <w:b/>
          <w:color w:val="525866"/>
          <w:sz w:val="22"/>
        </w:rPr>
        <w:t xml:space="preserve">May 3, 2026 — CNA Financial Q1 2026 Earnings: </w:t>
      </w:r>
      <w:r>
        <w:rPr>
          <w:rFonts w:ascii="Calibri" w:hAnsi="Calibri"/>
          <w:color w:val="525866"/>
          <w:sz w:val="22"/>
        </w:rPr>
        <w:t xml:space="preserve">CNA increased loss cost trends to &gt;7% for P&amp;C portfolio, driven by excess casualty and social inflation. Reserve strengthening in excess casualty for recent accident years. </w:t>
      </w:r>
    </w:p>
    <w:p>
      <w:pPr>
        <w:pStyle w:val="ListBullet"/>
        <w:ind w:left="360" w:hanging="360"/>
      </w:pPr>
      <w:r>
        <w:rPr>
          <w:rFonts w:ascii="Calibri" w:hAnsi="Calibri"/>
          <w:i/>
          <w:color w:val="525866"/>
          <w:sz w:val="22"/>
        </w:rPr>
        <w:t xml:space="preserve">Implication: </w:t>
      </w:r>
      <w:r>
        <w:rPr>
          <w:rFonts w:ascii="Calibri" w:hAnsi="Calibri"/>
          <w:i/>
          <w:color w:val="525866"/>
          <w:sz w:val="22"/>
        </w:rPr>
        <w:t>Cautionary read-through for HIG's GL and excess casualty reserves; social inflation not abating is a medium-term risk for the industry.</w:t>
      </w:r>
    </w:p>
    <w:p>
      <w:pPr>
        <w:pStyle w:val="ListBullet"/>
        <w:ind w:left="360" w:hanging="360"/>
      </w:pPr>
      <w:r>
        <w:rPr>
          <w:rFonts w:ascii="Calibri" w:hAnsi="Calibri"/>
          <w:b/>
          <w:color w:val="525866"/>
          <w:sz w:val="22"/>
        </w:rPr>
        <w:t xml:space="preserve">May 1, 2026 — AIG Q1 2026 Earnings: </w:t>
      </w:r>
      <w:r>
        <w:rPr>
          <w:rFonts w:ascii="Calibri" w:hAnsi="Calibri"/>
          <w:color w:val="525866"/>
          <w:sz w:val="22"/>
        </w:rPr>
        <w:t xml:space="preserve">AIG flagged Q2 2026 alternative investment returns expected to "remain below expectations" due to Q1 public market volatility. North America Casualty pricing +7% (in line with loss cost trend). </w:t>
      </w:r>
    </w:p>
    <w:p>
      <w:pPr>
        <w:pStyle w:val="ListBullet"/>
        <w:ind w:left="360" w:hanging="360"/>
      </w:pPr>
      <w:r>
        <w:rPr>
          <w:rFonts w:ascii="Calibri" w:hAnsi="Calibri"/>
          <w:i/>
          <w:color w:val="525866"/>
          <w:sz w:val="22"/>
        </w:rPr>
        <w:t xml:space="preserve">Implication: </w:t>
      </w:r>
      <w:r>
        <w:rPr>
          <w:rFonts w:ascii="Calibri" w:hAnsi="Calibri"/>
          <w:i/>
          <w:color w:val="525866"/>
          <w:sz w:val="22"/>
        </w:rPr>
        <w:t>LP income headwind in Q2 is consistent with HIG management's own guidance; casualty pricing adequacy confirmed.</w:t>
      </w:r>
    </w:p>
    <w:p>
      <w:pPr>
        <w:pStyle w:val="ListBullet"/>
        <w:ind w:left="360" w:hanging="360"/>
      </w:pPr>
      <w:r>
        <w:rPr>
          <w:rFonts w:ascii="Calibri" w:hAnsi="Calibri"/>
          <w:b/>
          <w:color w:val="525866"/>
          <w:sz w:val="22"/>
        </w:rPr>
        <w:t xml:space="preserve">April 23–24, 2026 — HIG Q1 2026 Earnings Call: </w:t>
      </w:r>
      <w:r>
        <w:rPr>
          <w:rFonts w:ascii="Calibri" w:hAnsi="Calibri"/>
          <w:color w:val="525866"/>
          <w:sz w:val="22"/>
        </w:rPr>
        <w:t xml:space="preserve">Management reaffirmed all 2027 expense ratio targets, guided for $450M Q2 buybacks, flagged $204M of $750M aggregate cat treaty threshold reached, and noted geopolitical volatility as a near-term LP headwind. Legacy GL reserve charge of $70M (sexual abuse/molestation, 1970s–80s) was a one-time item. </w:t>
      </w:r>
    </w:p>
    <w:p>
      <w:pPr>
        <w:pStyle w:val="ListBullet"/>
        <w:ind w:left="360" w:hanging="360"/>
      </w:pPr>
      <w:r>
        <w:rPr>
          <w:rFonts w:ascii="Calibri" w:hAnsi="Calibri"/>
          <w:i/>
          <w:color w:val="525866"/>
          <w:sz w:val="22"/>
        </w:rPr>
        <w:t xml:space="preserve">Implication: </w:t>
      </w:r>
      <w:r>
        <w:rPr>
          <w:rFonts w:ascii="Calibri" w:hAnsi="Calibri"/>
          <w:i/>
          <w:color w:val="525866"/>
          <w:sz w:val="22"/>
        </w:rPr>
        <w:t>Baseline for all current guidance; the legacy GL charge is not expected to recur, which is a modest tailwind for Q2 EPS vs. Q1.</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the Q1 earnings date. The two transactions on record are a 10b5-1 plan exercise (President Tooker) and a tax withholding share surrender (CIO Pannala) — </w:t>
      </w:r>
      <w:r>
        <w:rPr>
          <w:rFonts w:ascii="Calibri" w:hAnsi="Calibri"/>
          <w:b/>
          <w:color w:val="525866"/>
          <w:sz w:val="22"/>
        </w:rPr>
        <w:t>neither is a meaningful signal; insider activity is effectively silent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Adin M. Tooker</w:t>
            </w:r>
          </w:p>
        </w:tc>
        <w:tc>
          <w:tcPr>
            <w:tcW w:type="dxa" w:w="1440"/>
          </w:tcPr>
          <w:p>
            <w:r>
              <w:rPr>
                <w:rFonts w:ascii="Calibri" w:hAnsi="Calibri"/>
                <w:sz w:val="22"/>
              </w:rPr>
              <w:t>President</w:t>
            </w:r>
          </w:p>
        </w:tc>
        <w:tc>
          <w:tcPr>
            <w:tcW w:type="dxa" w:w="1440"/>
          </w:tcPr>
          <w:p>
            <w:r>
              <w:rPr>
                <w:rFonts w:ascii="Calibri" w:hAnsi="Calibri"/>
                <w:sz w:val="22"/>
              </w:rPr>
              <w:t>10b5-1 Plan Exercise (Acquisition via Option/Award)</w:t>
            </w:r>
          </w:p>
        </w:tc>
        <w:tc>
          <w:tcPr>
            <w:tcW w:type="dxa" w:w="1440"/>
          </w:tcPr>
          <w:p>
            <w:r>
              <w:rPr>
                <w:rFonts w:ascii="Calibri" w:hAnsi="Calibri"/>
                <w:sz w:val="22"/>
              </w:rPr>
              <w:t>8,895 shares</w:t>
            </w:r>
          </w:p>
        </w:tc>
        <w:tc>
          <w:tcPr>
            <w:tcW w:type="dxa" w:w="1440"/>
          </w:tcPr>
          <w:p>
            <w:r>
              <w:rPr>
                <w:rFonts w:ascii="Calibri" w:hAnsi="Calibri"/>
                <w:sz w:val="22"/>
              </w:rPr>
              <w:t>May 27, 2026</w:t>
            </w:r>
          </w:p>
        </w:tc>
        <w:tc>
          <w:tcPr>
            <w:tcW w:type="dxa" w:w="1440"/>
          </w:tcPr>
          <w:p>
            <w:r>
              <w:rPr>
                <w:rFonts w:ascii="Calibri" w:hAnsi="Calibri"/>
                <w:sz w:val="22"/>
              </w:rPr>
              <w:t>Form 4 code M (exercise of derivative security under pre-established 10b5-1 plan). Not a discretionary open-market buy. Routine compensation-related transaction.</w:t>
            </w:r>
          </w:p>
        </w:tc>
      </w:tr>
      <w:tr>
        <w:tc>
          <w:tcPr>
            <w:tcW w:type="dxa" w:w="1440"/>
          </w:tcPr>
          <w:p>
            <w:r>
              <w:rPr>
                <w:rFonts w:ascii="Calibri" w:hAnsi="Calibri"/>
                <w:sz w:val="22"/>
              </w:rPr>
              <w:t>Shekar Pannala</w:t>
            </w:r>
          </w:p>
        </w:tc>
        <w:tc>
          <w:tcPr>
            <w:tcW w:type="dxa" w:w="1440"/>
          </w:tcPr>
          <w:p>
            <w:r>
              <w:rPr>
                <w:rFonts w:ascii="Calibri" w:hAnsi="Calibri"/>
                <w:sz w:val="22"/>
              </w:rPr>
              <w:t>EVP &amp; Chief Information Officer</w:t>
            </w:r>
          </w:p>
        </w:tc>
        <w:tc>
          <w:tcPr>
            <w:tcW w:type="dxa" w:w="1440"/>
          </w:tcPr>
          <w:p>
            <w:r>
              <w:rPr>
                <w:rFonts w:ascii="Calibri" w:hAnsi="Calibri"/>
                <w:sz w:val="22"/>
              </w:rPr>
              <w:t>Tax Withholding Share Surrender (Disposition)</w:t>
            </w:r>
          </w:p>
        </w:tc>
        <w:tc>
          <w:tcPr>
            <w:tcW w:type="dxa" w:w="1440"/>
          </w:tcPr>
          <w:p>
            <w:r>
              <w:rPr>
                <w:rFonts w:ascii="Calibri" w:hAnsi="Calibri"/>
                <w:sz w:val="22"/>
              </w:rPr>
              <w:t>7,074 shares</w:t>
            </w:r>
          </w:p>
        </w:tc>
        <w:tc>
          <w:tcPr>
            <w:tcW w:type="dxa" w:w="1440"/>
          </w:tcPr>
          <w:p>
            <w:r>
              <w:rPr>
                <w:rFonts w:ascii="Calibri" w:hAnsi="Calibri"/>
                <w:sz w:val="22"/>
              </w:rPr>
              <w:t>May 4, 2026</w:t>
            </w:r>
          </w:p>
        </w:tc>
        <w:tc>
          <w:tcPr>
            <w:tcW w:type="dxa" w:w="1440"/>
          </w:tcPr>
          <w:p>
            <w:r>
              <w:rPr>
                <w:rFonts w:ascii="Calibri" w:hAnsi="Calibri"/>
                <w:sz w:val="22"/>
              </w:rPr>
              <w:t>Form 4 code F (shares withheld for tax obligation on vesting). Not a discretionary open-market sale. Routine tax withholding on equity award vesting.</w:t>
            </w:r>
          </w:p>
        </w:tc>
      </w:tr>
    </w:tbl>
    <w:p>
      <w:r>
        <w:rPr>
          <w:rFonts w:ascii="Calibri" w:hAnsi="Calibri"/>
          <w:i/>
          <w:color w:val="525866"/>
          <w:sz w:val="22"/>
        </w:rPr>
        <w:t>Source: Insider Transaction Data (SEC Form 4 filings). Transactions shown are from the post-Q1 2026 earnings window (April 23, 2026 – July 22, 2026). No open-market buys (Form 4 code P) or discretionary open-market sales (Form 4 code S) were filed during this period. The absence of insider buying ahead of earnings is not unusual for a large-cap insurer with active 10b5-1 programs, but the lack of any discretionary selling is a mild positive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