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Hartford (HIG)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Hartford Financial Services Group, Inc.</w:t>
            </w:r>
          </w:p>
        </w:tc>
      </w:tr>
      <w:tr>
        <w:tc>
          <w:tcPr>
            <w:tcW w:type="dxa" w:w="4320"/>
          </w:tcPr>
          <w:p>
            <w:r>
              <w:rPr>
                <w:rFonts w:ascii="Calibri" w:hAnsi="Calibri"/>
                <w:b/>
                <w:sz w:val="22"/>
              </w:rPr>
              <w:t>Ticker</w:t>
            </w:r>
          </w:p>
        </w:tc>
        <w:tc>
          <w:tcPr>
            <w:tcW w:type="dxa" w:w="4320"/>
          </w:tcPr>
          <w:p>
            <w:r>
              <w:rPr>
                <w:rFonts w:ascii="Calibri" w:hAnsi="Calibri"/>
                <w:sz w:val="22"/>
              </w:rPr>
              <w:t>HIG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24, 2026 (earnings call 9:00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w:t>
            </w:r>
          </w:p>
        </w:tc>
        <w:tc>
          <w:tcPr>
            <w:tcW w:type="dxa" w:w="4320"/>
          </w:tcPr>
          <w:p>
            <w:r>
              <w:rPr>
                <w:rFonts w:ascii="Calibri" w:hAnsi="Calibri"/>
                <w:sz w:val="22"/>
              </w:rPr>
              <w:t>KIE (SPDR S&amp;P Insurance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has drifted higher since the Q1 miss, but the bar remains beatable given peer results showing strong underwriting margins and favorable reserve development; the single biggest swing factor is whether Business Insurance underlying combined ratio holds near the 88% range or deteriorates further amid casualty pricing moderation.</w:t>
      </w:r>
    </w:p>
    <w:p>
      <w:r>
        <w:rPr>
          <w:rFonts w:ascii="Calibri" w:hAnsi="Calibri"/>
          <w:color w:val="525866"/>
          <w:sz w:val="22"/>
        </w:rPr>
        <w:t xml:space="preserve">The Hartford heads into Q2 2026 earnings with a mixed but improving setup. The Q1 2026 print was a modest EPS miss versus elevated consensus, weighed down by a $70M legacy general liability reserve charge and higher-than-expected Employee Benefits disability loss ratios — both largely one-time or manageable in nature. Since then, consensus EPS for Q2 2026 has risen to approximately </w:t>
      </w:r>
      <w:r>
        <w:rPr>
          <w:rFonts w:ascii="Calibri" w:hAnsi="Calibri"/>
          <w:b/>
          <w:color w:val="525866"/>
          <w:sz w:val="22"/>
        </w:rPr>
        <w:t>$3.10</w:t>
      </w:r>
      <w:r>
        <w:rPr>
          <w:rFonts w:ascii="Calibri" w:hAnsi="Calibri"/>
          <w:color w:val="525866"/>
          <w:sz w:val="22"/>
        </w:rPr>
        <w:t xml:space="preserve"> (from ~$3.32 at the time of Q1 earnings), reflecting some reset of expectations, while the full-year 2026 estimate has climbed to ~$12.40, suggesting the Street sees Q2 as a trough before a stronger second half. Peer results from Travelers (TRV), Chubb (CB), and W.R. Berkley (WRB) — all reporting Q2 2026 ahead of HIG — showed </w:t>
      </w:r>
      <w:r>
        <w:rPr>
          <w:rFonts w:ascii="Calibri" w:hAnsi="Calibri"/>
          <w:b/>
          <w:color w:val="525866"/>
          <w:sz w:val="22"/>
        </w:rPr>
        <w:t>strong underwriting margins, favorable prior-year reserve development, and record investment income</w:t>
      </w:r>
      <w:r>
        <w:rPr>
          <w:rFonts w:ascii="Calibri" w:hAnsi="Calibri"/>
          <w:color w:val="525866"/>
          <w:sz w:val="22"/>
        </w:rPr>
        <w:t xml:space="preserve">, which is a positive read-through for HIG's Business Insurance and investment income lines. The stock has recovered approximately +1.7% since the Q1 earnings date (April 23) versus KIE +9.3% and SPY +5.6%, suggesting HIG has meaningfully underperformed the insurance sector — a setup that could reward a clean print. The key wildcard is </w:t>
      </w:r>
      <w:r>
        <w:rPr>
          <w:rFonts w:ascii="Calibri" w:hAnsi="Calibri"/>
          <w:b/>
          <w:color w:val="525866"/>
          <w:sz w:val="22"/>
        </w:rPr>
        <w:t>casualty loss cost trends</w:t>
      </w:r>
      <w:r>
        <w:rPr>
          <w:rFonts w:ascii="Calibri" w:hAnsi="Calibri"/>
          <w:color w:val="525866"/>
          <w:sz w:val="22"/>
        </w:rPr>
        <w:t>: Chubb flagged U.S. casualty loss costs rising 6–7% annually for primary and 9–12% for excess, and noted pricing in numerous casualty areas is failing to keep pace — a dynamic that could pressure HIG's Business Insurance underlying combined ratio if management's loss picks prove insufficient.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moderately achievable bar — Q2 2026 EPS of ~$3.10 is well below the $3.41 Q2 2025 actual, reflecting reset expectations post-Q1 miss. Business Insurance written premium growth and underlying combined ratio are the two biggest swing factors; peer results suggest the underwriting environment remains supportive.</w:t>
      </w:r>
    </w:p>
    <w:p>
      <w:pPr>
        <w:pStyle w:val="Heading2"/>
      </w:pPr>
      <w:r>
        <w:rPr>
          <w:rFonts w:ascii="Calibri" w:hAnsi="Calibri"/>
          <w:b/>
          <w:color w:val="3B4259"/>
          <w:sz w:val="28"/>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EPS (Diluted Operating)</w:t>
            </w:r>
          </w:p>
        </w:tc>
        <w:tc>
          <w:tcPr>
            <w:tcW w:type="dxa" w:w="1234"/>
          </w:tcPr>
          <w:p>
            <w:r>
              <w:rPr>
                <w:rFonts w:ascii="Calibri" w:hAnsi="Calibri"/>
                <w:sz w:val="22"/>
              </w:rPr>
              <w:t>$2.91</w:t>
            </w:r>
          </w:p>
        </w:tc>
        <w:tc>
          <w:tcPr>
            <w:tcW w:type="dxa" w:w="1234"/>
          </w:tcPr>
          <w:p>
            <w:r>
              <w:rPr>
                <w:rFonts w:ascii="Calibri" w:hAnsi="Calibri"/>
                <w:sz w:val="22"/>
              </w:rPr>
              <w:t>$3.41</w:t>
            </w:r>
          </w:p>
        </w:tc>
        <w:tc>
          <w:tcPr>
            <w:tcW w:type="dxa" w:w="1234"/>
          </w:tcPr>
          <w:p>
            <w:r>
              <w:rPr>
                <w:rFonts w:ascii="Calibri" w:hAnsi="Calibri"/>
                <w:sz w:val="22"/>
              </w:rPr>
              <w:t>$3.10</w:t>
            </w:r>
          </w:p>
        </w:tc>
        <w:tc>
          <w:tcPr>
            <w:tcW w:type="dxa" w:w="1234"/>
          </w:tcPr>
          <w:p>
            <w:r>
              <w:rPr>
                <w:rFonts w:ascii="Calibri" w:hAnsi="Calibri"/>
                <w:sz w:val="22"/>
              </w:rPr>
              <w:t>-9.1%</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BI Written Premium</w:t>
            </w:r>
          </w:p>
        </w:tc>
        <w:tc>
          <w:tcPr>
            <w:tcW w:type="dxa" w:w="1234"/>
          </w:tcPr>
          <w:p>
            <w:r>
              <w:rPr>
                <w:rFonts w:ascii="Calibri" w:hAnsi="Calibri"/>
                <w:sz w:val="22"/>
              </w:rPr>
              <w:t>$3,904M</w:t>
            </w:r>
          </w:p>
        </w:tc>
        <w:tc>
          <w:tcPr>
            <w:tcW w:type="dxa" w:w="1234"/>
          </w:tcPr>
          <w:p>
            <w:r>
              <w:rPr>
                <w:rFonts w:ascii="Calibri" w:hAnsi="Calibri"/>
                <w:sz w:val="22"/>
              </w:rPr>
              <w:t>$3,816M</w:t>
            </w:r>
          </w:p>
        </w:tc>
        <w:tc>
          <w:tcPr>
            <w:tcW w:type="dxa" w:w="1234"/>
          </w:tcPr>
          <w:p>
            <w:r>
              <w:rPr>
                <w:rFonts w:ascii="Calibri" w:hAnsi="Calibri"/>
                <w:sz w:val="22"/>
              </w:rPr>
              <w:t>$4,025M</w:t>
            </w:r>
          </w:p>
        </w:tc>
        <w:tc>
          <w:tcPr>
            <w:tcW w:type="dxa" w:w="1234"/>
          </w:tcPr>
          <w:p>
            <w:r>
              <w:rPr>
                <w:rFonts w:ascii="Calibri" w:hAnsi="Calibri"/>
                <w:sz w:val="22"/>
              </w:rPr>
              <w:t>+5.5%</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BI Underlying Combined Ratio</w:t>
            </w:r>
          </w:p>
        </w:tc>
        <w:tc>
          <w:tcPr>
            <w:tcW w:type="dxa" w:w="1234"/>
          </w:tcPr>
          <w:p>
            <w:r>
              <w:rPr>
                <w:rFonts w:ascii="Calibri" w:hAnsi="Calibri"/>
                <w:sz w:val="22"/>
              </w:rPr>
              <w:t>89.2%</w:t>
            </w:r>
          </w:p>
        </w:tc>
        <w:tc>
          <w:tcPr>
            <w:tcW w:type="dxa" w:w="1234"/>
          </w:tcPr>
          <w:p>
            <w:r>
              <w:rPr>
                <w:rFonts w:ascii="Calibri" w:hAnsi="Calibri"/>
                <w:sz w:val="22"/>
              </w:rPr>
              <w:t>87.97%</w:t>
            </w:r>
          </w:p>
        </w:tc>
        <w:tc>
          <w:tcPr>
            <w:tcW w:type="dxa" w:w="1234"/>
          </w:tcPr>
          <w:p>
            <w:r>
              <w:rPr>
                <w:rFonts w:ascii="Calibri" w:hAnsi="Calibri"/>
                <w:sz w:val="22"/>
              </w:rPr>
              <w:t>88.43%</w:t>
            </w:r>
          </w:p>
        </w:tc>
        <w:tc>
          <w:tcPr>
            <w:tcW w:type="dxa" w:w="1234"/>
          </w:tcPr>
          <w:p>
            <w:r>
              <w:rPr>
                <w:rFonts w:ascii="Calibri" w:hAnsi="Calibri"/>
                <w:sz w:val="22"/>
              </w:rPr>
              <w:t>+0.5 pts</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Net Investment Income</w:t>
            </w:r>
          </w:p>
        </w:tc>
        <w:tc>
          <w:tcPr>
            <w:tcW w:type="dxa" w:w="1234"/>
          </w:tcPr>
          <w:p>
            <w:r>
              <w:rPr>
                <w:rFonts w:ascii="Calibri" w:hAnsi="Calibri"/>
                <w:sz w:val="22"/>
              </w:rPr>
              <w:t>$734M</w:t>
            </w:r>
          </w:p>
        </w:tc>
        <w:tc>
          <w:tcPr>
            <w:tcW w:type="dxa" w:w="1234"/>
          </w:tcPr>
          <w:p>
            <w:r>
              <w:rPr>
                <w:rFonts w:ascii="Calibri" w:hAnsi="Calibri"/>
                <w:sz w:val="22"/>
              </w:rPr>
              <w:t>$658M</w:t>
            </w:r>
          </w:p>
        </w:tc>
        <w:tc>
          <w:tcPr>
            <w:tcW w:type="dxa" w:w="1234"/>
          </w:tcPr>
          <w:p>
            <w:r>
              <w:rPr>
                <w:rFonts w:ascii="Calibri" w:hAnsi="Calibri"/>
                <w:sz w:val="22"/>
              </w:rPr>
              <w:t>$729M</w:t>
            </w:r>
          </w:p>
        </w:tc>
        <w:tc>
          <w:tcPr>
            <w:tcW w:type="dxa" w:w="1234"/>
          </w:tcPr>
          <w:p>
            <w:r>
              <w:rPr>
                <w:rFonts w:ascii="Calibri" w:hAnsi="Calibri"/>
                <w:sz w:val="22"/>
              </w:rPr>
              <w:t>+10.8%</w:t>
            </w:r>
          </w:p>
        </w:tc>
        <w:tc>
          <w:tcPr>
            <w:tcW w:type="dxa" w:w="1234"/>
          </w:tcPr>
          <w:p>
            <w:r>
              <w:rPr>
                <w:rFonts w:ascii="Calibri" w:hAnsi="Calibri"/>
                <w:sz w:val="22"/>
              </w:rPr>
              <w:t>FY2026 NII expected to increase vs. 2025</w:t>
            </w:r>
          </w:p>
        </w:tc>
        <w:tc>
          <w:tcPr>
            <w:tcW w:type="dxa" w:w="1234"/>
          </w:tcPr>
          <w:p>
            <w:r>
              <w:rPr>
                <w:rFonts w:ascii="Calibri" w:hAnsi="Calibri"/>
                <w:sz w:val="22"/>
              </w:rPr>
              <w:t>Tracking guidance</w:t>
            </w:r>
          </w:p>
        </w:tc>
      </w:tr>
      <w:tr>
        <w:tc>
          <w:tcPr>
            <w:tcW w:type="dxa" w:w="1234"/>
          </w:tcPr>
          <w:p>
            <w:r>
              <w:rPr>
                <w:rFonts w:ascii="Calibri" w:hAnsi="Calibri"/>
                <w:sz w:val="22"/>
              </w:rPr>
              <w:t>Group Benefits Core Earnings</w:t>
            </w:r>
          </w:p>
        </w:tc>
        <w:tc>
          <w:tcPr>
            <w:tcW w:type="dxa" w:w="1234"/>
          </w:tcPr>
          <w:p>
            <w:r>
              <w:rPr>
                <w:rFonts w:ascii="Calibri" w:hAnsi="Calibri"/>
                <w:sz w:val="22"/>
              </w:rPr>
              <w:t>$127M</w:t>
            </w:r>
          </w:p>
        </w:tc>
        <w:tc>
          <w:tcPr>
            <w:tcW w:type="dxa" w:w="1234"/>
          </w:tcPr>
          <w:p>
            <w:r>
              <w:rPr>
                <w:rFonts w:ascii="Calibri" w:hAnsi="Calibri"/>
                <w:sz w:val="22"/>
              </w:rPr>
              <w:t>$163M</w:t>
            </w:r>
          </w:p>
        </w:tc>
        <w:tc>
          <w:tcPr>
            <w:tcW w:type="dxa" w:w="1234"/>
          </w:tcPr>
          <w:p>
            <w:r>
              <w:rPr>
                <w:rFonts w:ascii="Calibri" w:hAnsi="Calibri"/>
                <w:sz w:val="22"/>
              </w:rPr>
              <w:t>$148M</w:t>
            </w:r>
          </w:p>
        </w:tc>
        <w:tc>
          <w:tcPr>
            <w:tcW w:type="dxa" w:w="1234"/>
          </w:tcPr>
          <w:p>
            <w:r>
              <w:rPr>
                <w:rFonts w:ascii="Calibri" w:hAnsi="Calibri"/>
                <w:sz w:val="22"/>
              </w:rPr>
              <w:t>-9.2%</w:t>
            </w:r>
          </w:p>
        </w:tc>
        <w:tc>
          <w:tcPr>
            <w:tcW w:type="dxa" w:w="1234"/>
          </w:tcPr>
          <w:p>
            <w:r>
              <w:rPr>
                <w:rFonts w:ascii="Calibri" w:hAnsi="Calibri"/>
                <w:sz w:val="22"/>
              </w:rPr>
              <w:t>No specific Q2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July 22,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Core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$2.91</w:t>
            </w:r>
          </w:p>
        </w:tc>
        <w:tc>
          <w:tcPr>
            <w:tcW w:type="dxa" w:w="1728"/>
          </w:tcPr>
          <w:p>
            <w:r>
              <w:rPr>
                <w:rFonts w:ascii="Calibri" w:hAnsi="Calibri"/>
                <w:sz w:val="22"/>
              </w:rPr>
              <w:t>$3.38</w:t>
            </w:r>
          </w:p>
        </w:tc>
        <w:tc>
          <w:tcPr>
            <w:tcW w:type="dxa" w:w="1728"/>
          </w:tcPr>
          <w:p>
            <w:r>
              <w:rPr>
                <w:rFonts w:ascii="Calibri" w:hAnsi="Calibri"/>
                <w:sz w:val="22"/>
              </w:rPr>
              <w:t>-13.9%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$4.06</w:t>
            </w:r>
          </w:p>
        </w:tc>
        <w:tc>
          <w:tcPr>
            <w:tcW w:type="dxa" w:w="1728"/>
          </w:tcPr>
          <w:p>
            <w:r>
              <w:rPr>
                <w:rFonts w:ascii="Calibri" w:hAnsi="Calibri"/>
                <w:sz w:val="22"/>
              </w:rPr>
              <w:t>$3.21</w:t>
            </w:r>
          </w:p>
        </w:tc>
        <w:tc>
          <w:tcPr>
            <w:tcW w:type="dxa" w:w="1728"/>
          </w:tcPr>
          <w:p>
            <w:r>
              <w:rPr>
                <w:rFonts w:ascii="Calibri" w:hAnsi="Calibri"/>
                <w:sz w:val="22"/>
              </w:rPr>
              <w:t>+26.5%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$3.78</w:t>
            </w:r>
          </w:p>
        </w:tc>
        <w:tc>
          <w:tcPr>
            <w:tcW w:type="dxa" w:w="1728"/>
          </w:tcPr>
          <w:p>
            <w:r>
              <w:rPr>
                <w:rFonts w:ascii="Calibri" w:hAnsi="Calibri"/>
                <w:sz w:val="22"/>
              </w:rPr>
              <w:t>$3.27</w:t>
            </w:r>
          </w:p>
        </w:tc>
        <w:tc>
          <w:tcPr>
            <w:tcW w:type="dxa" w:w="1728"/>
          </w:tcPr>
          <w:p>
            <w:r>
              <w:rPr>
                <w:rFonts w:ascii="Calibri" w:hAnsi="Calibri"/>
                <w:sz w:val="22"/>
              </w:rPr>
              <w:t>+15.6%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$3.41</w:t>
            </w:r>
          </w:p>
        </w:tc>
        <w:tc>
          <w:tcPr>
            <w:tcW w:type="dxa" w:w="1728"/>
          </w:tcPr>
          <w:p>
            <w:r>
              <w:rPr>
                <w:rFonts w:ascii="Calibri" w:hAnsi="Calibri"/>
                <w:sz w:val="22"/>
              </w:rPr>
              <w:t>$2.84</w:t>
            </w:r>
          </w:p>
        </w:tc>
        <w:tc>
          <w:tcPr>
            <w:tcW w:type="dxa" w:w="1728"/>
          </w:tcPr>
          <w:p>
            <w:r>
              <w:rPr>
                <w:rFonts w:ascii="Calibri" w:hAnsi="Calibri"/>
                <w:sz w:val="22"/>
              </w:rPr>
              <w:t>+20.1%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$2.20</w:t>
            </w:r>
          </w:p>
        </w:tc>
        <w:tc>
          <w:tcPr>
            <w:tcW w:type="dxa" w:w="1728"/>
          </w:tcPr>
          <w:p>
            <w:r>
              <w:rPr>
                <w:rFonts w:ascii="Calibri" w:hAnsi="Calibri"/>
                <w:sz w:val="22"/>
              </w:rPr>
              <w:t>$2.15</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$2.94</w:t>
            </w:r>
          </w:p>
        </w:tc>
        <w:tc>
          <w:tcPr>
            <w:tcW w:type="dxa" w:w="1728"/>
          </w:tcPr>
          <w:p>
            <w:r>
              <w:rPr>
                <w:rFonts w:ascii="Calibri" w:hAnsi="Calibri"/>
                <w:sz w:val="22"/>
              </w:rPr>
              <w:t>$2.67</w:t>
            </w:r>
          </w:p>
        </w:tc>
        <w:tc>
          <w:tcPr>
            <w:tcW w:type="dxa" w:w="1728"/>
          </w:tcPr>
          <w:p>
            <w:r>
              <w:rPr>
                <w:rFonts w:ascii="Calibri" w:hAnsi="Calibri"/>
                <w:sz w:val="22"/>
              </w:rPr>
              <w:t>+10.1%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$2.53</w:t>
            </w:r>
          </w:p>
        </w:tc>
        <w:tc>
          <w:tcPr>
            <w:tcW w:type="dxa" w:w="1728"/>
          </w:tcPr>
          <w:p>
            <w:r>
              <w:rPr>
                <w:rFonts w:ascii="Calibri" w:hAnsi="Calibri"/>
                <w:sz w:val="22"/>
              </w:rPr>
              <w:t>$2.57</w:t>
            </w:r>
          </w:p>
        </w:tc>
        <w:tc>
          <w:tcPr>
            <w:tcW w:type="dxa" w:w="1728"/>
          </w:tcPr>
          <w:p>
            <w:r>
              <w:rPr>
                <w:rFonts w:ascii="Calibri" w:hAnsi="Calibri"/>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$2.50</w:t>
            </w:r>
          </w:p>
        </w:tc>
        <w:tc>
          <w:tcPr>
            <w:tcW w:type="dxa" w:w="1728"/>
          </w:tcPr>
          <w:p>
            <w:r>
              <w:rPr>
                <w:rFonts w:ascii="Calibri" w:hAnsi="Calibri"/>
                <w:sz w:val="22"/>
              </w:rPr>
              <w:t>$2.27</w:t>
            </w:r>
          </w:p>
        </w:tc>
        <w:tc>
          <w:tcPr>
            <w:tcW w:type="dxa" w:w="1728"/>
          </w:tcPr>
          <w:p>
            <w:r>
              <w:rPr>
                <w:rFonts w:ascii="Calibri" w:hAnsi="Calibri"/>
                <w:sz w:val="22"/>
              </w:rPr>
              <w:t>+10.1%</w:t>
            </w:r>
          </w:p>
        </w:tc>
        <w:tc>
          <w:tcPr>
            <w:tcW w:type="dxa" w:w="1728"/>
          </w:tcPr>
          <w:p>
            <w:r>
              <w:rPr>
                <w:rFonts w:ascii="Calibri" w:hAnsi="Calibri"/>
                <w:b/>
                <w:color w:val="30A46C"/>
                <w:sz w:val="22"/>
              </w:rPr>
              <w:t>BEAT</w:t>
            </w:r>
          </w:p>
        </w:tc>
      </w:tr>
    </w:tbl>
    <w:p>
      <w:pPr>
        <w:pStyle w:val="Heading3"/>
      </w:pPr>
      <w:r>
        <w:rPr>
          <w:rFonts w:ascii="Calibri" w:hAnsi="Calibri"/>
          <w:b/>
          <w:color w:val="3B4259"/>
          <w:sz w:val="24"/>
        </w:rPr>
        <w:t>Business Insurance Written Premium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$3,904M</w:t>
            </w:r>
          </w:p>
        </w:tc>
        <w:tc>
          <w:tcPr>
            <w:tcW w:type="dxa" w:w="1728"/>
          </w:tcPr>
          <w:p>
            <w:r>
              <w:rPr>
                <w:rFonts w:ascii="Calibri" w:hAnsi="Calibri"/>
                <w:sz w:val="22"/>
              </w:rPr>
              <w:t>$3,911M</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Q4 2025</w:t>
            </w:r>
          </w:p>
        </w:tc>
        <w:tc>
          <w:tcPr>
            <w:tcW w:type="dxa" w:w="1728"/>
          </w:tcPr>
          <w:p>
            <w:r>
              <w:rPr>
                <w:rFonts w:ascii="Calibri" w:hAnsi="Calibri"/>
                <w:sz w:val="22"/>
              </w:rPr>
              <w:t>$3,381M</w:t>
            </w:r>
          </w:p>
        </w:tc>
        <w:tc>
          <w:tcPr>
            <w:tcW w:type="dxa" w:w="1728"/>
          </w:tcPr>
          <w:p>
            <w:r>
              <w:rPr>
                <w:rFonts w:ascii="Calibri" w:hAnsi="Calibri"/>
                <w:sz w:val="22"/>
              </w:rPr>
              <w:t>$3,414M</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$3,573M</w:t>
            </w:r>
          </w:p>
        </w:tc>
        <w:tc>
          <w:tcPr>
            <w:tcW w:type="dxa" w:w="1728"/>
          </w:tcPr>
          <w:p>
            <w:r>
              <w:rPr>
                <w:rFonts w:ascii="Calibri" w:hAnsi="Calibri"/>
                <w:sz w:val="22"/>
              </w:rPr>
              <w:t>$3,525M</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$3,816M</w:t>
            </w:r>
          </w:p>
        </w:tc>
        <w:tc>
          <w:tcPr>
            <w:tcW w:type="dxa" w:w="1728"/>
          </w:tcPr>
          <w:p>
            <w:r>
              <w:rPr>
                <w:rFonts w:ascii="Calibri" w:hAnsi="Calibri"/>
                <w:sz w:val="22"/>
              </w:rPr>
              <w:t>$3,826M</w:t>
            </w:r>
          </w:p>
        </w:tc>
        <w:tc>
          <w:tcPr>
            <w:tcW w:type="dxa" w:w="1728"/>
          </w:tcPr>
          <w:p>
            <w:r>
              <w:rPr>
                <w:rFonts w:ascii="Calibri" w:hAnsi="Calibri"/>
                <w:sz w:val="22"/>
              </w:rPr>
              <w:t>-0.3%</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$3,686M</w:t>
            </w:r>
          </w:p>
        </w:tc>
        <w:tc>
          <w:tcPr>
            <w:tcW w:type="dxa" w:w="1728"/>
          </w:tcPr>
          <w:p>
            <w:r>
              <w:rPr>
                <w:rFonts w:ascii="Calibri" w:hAnsi="Calibri"/>
                <w:sz w:val="22"/>
              </w:rPr>
              <w:t>$3,620M</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$3,174M</w:t>
            </w:r>
          </w:p>
        </w:tc>
        <w:tc>
          <w:tcPr>
            <w:tcW w:type="dxa" w:w="1728"/>
          </w:tcPr>
          <w:p>
            <w:r>
              <w:rPr>
                <w:rFonts w:ascii="Calibri" w:hAnsi="Calibri"/>
                <w:sz w:val="22"/>
              </w:rPr>
              <w:t>$3,251M</w:t>
            </w:r>
          </w:p>
        </w:tc>
        <w:tc>
          <w:tcPr>
            <w:tcW w:type="dxa" w:w="1728"/>
          </w:tcPr>
          <w:p>
            <w:r>
              <w:rPr>
                <w:rFonts w:ascii="Calibri" w:hAnsi="Calibri"/>
                <w:sz w:val="22"/>
              </w:rPr>
              <w:t>-2.4%</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$3,275M</w:t>
            </w:r>
          </w:p>
        </w:tc>
        <w:tc>
          <w:tcPr>
            <w:tcW w:type="dxa" w:w="1728"/>
          </w:tcPr>
          <w:p>
            <w:r>
              <w:rPr>
                <w:rFonts w:ascii="Calibri" w:hAnsi="Calibri"/>
                <w:sz w:val="22"/>
              </w:rPr>
              <w:t>$3,280M</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Q2 2024</w:t>
            </w:r>
          </w:p>
        </w:tc>
        <w:tc>
          <w:tcPr>
            <w:tcW w:type="dxa" w:w="1728"/>
          </w:tcPr>
          <w:p>
            <w:r>
              <w:rPr>
                <w:rFonts w:ascii="Calibri" w:hAnsi="Calibri"/>
                <w:sz w:val="22"/>
              </w:rPr>
              <w:t>$3,540M</w:t>
            </w:r>
          </w:p>
        </w:tc>
        <w:tc>
          <w:tcPr>
            <w:tcW w:type="dxa" w:w="1728"/>
          </w:tcPr>
          <w:p>
            <w:r>
              <w:rPr>
                <w:rFonts w:ascii="Calibri" w:hAnsi="Calibri"/>
                <w:sz w:val="22"/>
              </w:rPr>
              <w:t>$3,429M</w:t>
            </w:r>
          </w:p>
        </w:tc>
        <w:tc>
          <w:tcPr>
            <w:tcW w:type="dxa" w:w="1728"/>
          </w:tcPr>
          <w:p>
            <w:r>
              <w:rPr>
                <w:rFonts w:ascii="Calibri" w:hAnsi="Calibri"/>
                <w:sz w:val="22"/>
              </w:rPr>
              <w:t>+3.2%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HIG has beaten Core EPS consensus in 6 of the last 8 quarters, with the two misses (Q1 2026 and Q3 2024) driven by specific one-time items (legacy reserve charge and elevated catastrophe losses). Business Insurance written premium has been broadly in-line to slightly below consensus, reflecting a disciplined underwriting posture rather than aggressive growth. The consistent EPS beat pattern suggests management tends to be conservative in its loss picks, providing a cushion for favorable development.</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Management's guidance posture has been largely unchanged since the Q1 2026 earnings call — no post-earnings 8-K or conference updates have revised financial guidance. The tone on investment income remains constructive, while the Q2 share repurchase pace was explicitly guided to remain at $450M.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24,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Investment Income</w:t>
            </w:r>
          </w:p>
        </w:tc>
        <w:tc>
          <w:tcPr>
            <w:tcW w:type="dxa" w:w="1728"/>
          </w:tcPr>
          <w:p>
            <w:r>
              <w:rPr>
                <w:rFonts w:ascii="Calibri" w:hAnsi="Calibri"/>
                <w:sz w:val="22"/>
              </w:rPr>
              <w:t>Expected to increase vs. 2025; portfolio yields generally in line with 2025</w:t>
            </w:r>
          </w:p>
        </w:tc>
        <w:tc>
          <w:tcPr>
            <w:tcW w:type="dxa" w:w="1728"/>
          </w:tcPr>
          <w:p>
            <w:r>
              <w:rPr>
                <w:rFonts w:ascii="Calibri" w:hAnsi="Calibri"/>
                <w:sz w:val="22"/>
              </w:rPr>
              <w:t>—</w:t>
            </w:r>
          </w:p>
        </w:tc>
        <w:tc>
          <w:tcPr>
            <w:tcW w:type="dxa" w:w="1728"/>
          </w:tcPr>
          <w:p>
            <w:r>
              <w:rPr>
                <w:rFonts w:ascii="Calibri" w:hAnsi="Calibri"/>
                <w:sz w:val="22"/>
              </w:rPr>
              <w:t>$3.02B (FY2026)</w:t>
            </w:r>
          </w:p>
        </w:tc>
        <w:tc>
          <w:tcPr>
            <w:tcW w:type="dxa" w:w="1728"/>
          </w:tcPr>
          <w:p>
            <w:r>
              <w:rPr>
                <w:rFonts w:ascii="Calibri" w:hAnsi="Calibri"/>
                <w:sz w:val="22"/>
              </w:rPr>
              <w:t>Unchanged; consensus tracking guidance</w:t>
            </w:r>
          </w:p>
        </w:tc>
      </w:tr>
      <w:tr>
        <w:tc>
          <w:tcPr>
            <w:tcW w:type="dxa" w:w="1728"/>
          </w:tcPr>
          <w:p>
            <w:r>
              <w:rPr>
                <w:rFonts w:ascii="Calibri" w:hAnsi="Calibri"/>
                <w:sz w:val="22"/>
              </w:rPr>
              <w:t>Q2 2026 Share Repurchases</w:t>
            </w:r>
          </w:p>
        </w:tc>
        <w:tc>
          <w:tcPr>
            <w:tcW w:type="dxa" w:w="1728"/>
          </w:tcPr>
          <w:p>
            <w:r>
              <w:rPr>
                <w:rFonts w:ascii="Calibri" w:hAnsi="Calibri"/>
                <w:sz w:val="22"/>
              </w:rPr>
              <w:t>$450M (same pace as Q1 2026)</w:t>
            </w:r>
          </w:p>
        </w:tc>
        <w:tc>
          <w:tcPr>
            <w:tcW w:type="dxa" w:w="1728"/>
          </w:tcPr>
          <w:p>
            <w:r>
              <w:rPr>
                <w:rFonts w:ascii="Calibri" w:hAnsi="Calibri"/>
                <w:sz w:val="22"/>
              </w:rPr>
              <w:t>—</w:t>
            </w:r>
          </w:p>
        </w:tc>
        <w:tc>
          <w:tcPr>
            <w:tcW w:type="dxa" w:w="1728"/>
          </w:tcPr>
          <w:p>
            <w:r>
              <w:rPr>
                <w:rFonts w:ascii="Calibri" w:hAnsi="Calibri"/>
                <w:sz w:val="22"/>
              </w:rPr>
              <w:t>~$450M expected</w:t>
            </w:r>
          </w:p>
        </w:tc>
        <w:tc>
          <w:tcPr>
            <w:tcW w:type="dxa" w:w="1728"/>
          </w:tcPr>
          <w:p>
            <w:r>
              <w:rPr>
                <w:rFonts w:ascii="Calibri" w:hAnsi="Calibri"/>
                <w:sz w:val="22"/>
              </w:rPr>
              <w:t>Explicitly guided on Q1 call; $1.1B remaining authorization as of March 31</w:t>
            </w:r>
          </w:p>
        </w:tc>
      </w:tr>
      <w:tr>
        <w:tc>
          <w:tcPr>
            <w:tcW w:type="dxa" w:w="1728"/>
          </w:tcPr>
          <w:p>
            <w:r>
              <w:rPr>
                <w:rFonts w:ascii="Calibri" w:hAnsi="Calibri"/>
                <w:sz w:val="22"/>
              </w:rPr>
              <w:t>Expense Ratio Targets (end of 2027)</w:t>
            </w:r>
          </w:p>
        </w:tc>
        <w:tc>
          <w:tcPr>
            <w:tcW w:type="dxa" w:w="1728"/>
          </w:tcPr>
          <w:p>
            <w:r>
              <w:rPr>
                <w:rFonts w:ascii="Calibri" w:hAnsi="Calibri"/>
                <w:sz w:val="22"/>
              </w:rPr>
              <w:t>BI below 30%; PI below 25%; EB ~25% by end of 2027; improvement expected in 2026</w:t>
            </w:r>
          </w:p>
        </w:tc>
        <w:tc>
          <w:tcPr>
            <w:tcW w:type="dxa" w:w="1728"/>
          </w:tcPr>
          <w:p>
            <w:r>
              <w:rPr>
                <w:rFonts w:ascii="Calibri" w:hAnsi="Calibri"/>
                <w:sz w:val="22"/>
              </w:rPr>
              <w:t>—</w:t>
            </w:r>
          </w:p>
        </w:tc>
        <w:tc>
          <w:tcPr>
            <w:tcW w:type="dxa" w:w="1728"/>
          </w:tcPr>
          <w:p>
            <w:r>
              <w:rPr>
                <w:rFonts w:ascii="Calibri" w:hAnsi="Calibri"/>
                <w:sz w:val="22"/>
              </w:rPr>
              <w:t>BI ~88.8% underlying CR (FY2026 consensus)</w:t>
            </w:r>
          </w:p>
        </w:tc>
        <w:tc>
          <w:tcPr>
            <w:tcW w:type="dxa" w:w="1728"/>
          </w:tcPr>
          <w:p>
            <w:r>
              <w:rPr>
                <w:rFonts w:ascii="Calibri" w:hAnsi="Calibri"/>
                <w:sz w:val="22"/>
              </w:rPr>
              <w:t>Reaffirmed on Q1 call; no post-earnings update</w:t>
            </w:r>
          </w:p>
        </w:tc>
      </w:tr>
      <w:tr>
        <w:tc>
          <w:tcPr>
            <w:tcW w:type="dxa" w:w="1728"/>
          </w:tcPr>
          <w:p>
            <w:r>
              <w:rPr>
                <w:rFonts w:ascii="Calibri" w:hAnsi="Calibri"/>
                <w:sz w:val="22"/>
              </w:rPr>
              <w:t>Personal Lines Prevail Rollout</w:t>
            </w:r>
          </w:p>
        </w:tc>
        <w:tc>
          <w:tcPr>
            <w:tcW w:type="dxa" w:w="1728"/>
          </w:tcPr>
          <w:p>
            <w:r>
              <w:rPr>
                <w:rFonts w:ascii="Calibri" w:hAnsi="Calibri"/>
                <w:sz w:val="22"/>
              </w:rPr>
              <w:t>Live in 15 states as of Q1; 30 states planned by early 2027</w:t>
            </w:r>
          </w:p>
        </w:tc>
        <w:tc>
          <w:tcPr>
            <w:tcW w:type="dxa" w:w="1728"/>
          </w:tcPr>
          <w:p>
            <w:r>
              <w:rPr>
                <w:rFonts w:ascii="Calibri" w:hAnsi="Calibri"/>
                <w:sz w:val="22"/>
              </w:rPr>
              <w:t>—</w:t>
            </w:r>
          </w:p>
        </w:tc>
        <w:tc>
          <w:tcPr>
            <w:tcW w:type="dxa" w:w="1728"/>
          </w:tcPr>
          <w:p>
            <w:r>
              <w:rPr>
                <w:rFonts w:ascii="Calibri" w:hAnsi="Calibri"/>
                <w:sz w:val="22"/>
              </w:rPr>
              <w:t>N/A (operational metric)</w:t>
            </w:r>
          </w:p>
        </w:tc>
        <w:tc>
          <w:tcPr>
            <w:tcW w:type="dxa" w:w="1728"/>
          </w:tcPr>
          <w:p>
            <w:r>
              <w:rPr>
                <w:rFonts w:ascii="Calibri" w:hAnsi="Calibri"/>
                <w:sz w:val="22"/>
              </w:rPr>
              <w:t>On track per Q1 commentary; no update since</w:t>
            </w:r>
          </w:p>
        </w:tc>
      </w:tr>
      <w:tr>
        <w:tc>
          <w:tcPr>
            <w:tcW w:type="dxa" w:w="1728"/>
          </w:tcPr>
          <w:p>
            <w:r>
              <w:rPr>
                <w:rFonts w:ascii="Calibri" w:hAnsi="Calibri"/>
                <w:sz w:val="22"/>
              </w:rPr>
              <w:t>Business Insurance Renewal Pricing (ex-WC)</w:t>
            </w:r>
          </w:p>
        </w:tc>
        <w:tc>
          <w:tcPr>
            <w:tcW w:type="dxa" w:w="1728"/>
          </w:tcPr>
          <w:p>
            <w:r>
              <w:rPr>
                <w:rFonts w:ascii="Calibri" w:hAnsi="Calibri"/>
                <w:sz w:val="22"/>
              </w:rPr>
              <w:t>~6% in Q1 2026; casualty above loss trend; property moderating</w:t>
            </w:r>
          </w:p>
        </w:tc>
        <w:tc>
          <w:tcPr>
            <w:tcW w:type="dxa" w:w="1728"/>
          </w:tcPr>
          <w:p>
            <w:r>
              <w:rPr>
                <w:rFonts w:ascii="Calibri" w:hAnsi="Calibri"/>
                <w:sz w:val="22"/>
              </w:rPr>
              <w:t>—</w:t>
            </w:r>
          </w:p>
        </w:tc>
        <w:tc>
          <w:tcPr>
            <w:tcW w:type="dxa" w:w="1728"/>
          </w:tcPr>
          <w:p>
            <w:r>
              <w:rPr>
                <w:rFonts w:ascii="Calibri" w:hAnsi="Calibri"/>
                <w:sz w:val="22"/>
              </w:rPr>
              <w:t>N/A (pricing metric)</w:t>
            </w:r>
          </w:p>
        </w:tc>
        <w:tc>
          <w:tcPr>
            <w:tcW w:type="dxa" w:w="1728"/>
          </w:tcPr>
          <w:p>
            <w:r>
              <w:rPr>
                <w:rFonts w:ascii="Calibri" w:hAnsi="Calibri"/>
                <w:sz w:val="22"/>
              </w:rPr>
              <w:t>Peer data (TRV, CB, WRB) suggests continued moderation in property; casualty discipline holding</w:t>
            </w:r>
          </w:p>
        </w:tc>
      </w:tr>
      <w:tr>
        <w:tc>
          <w:tcPr>
            <w:tcW w:type="dxa" w:w="1728"/>
          </w:tcPr>
          <w:p>
            <w:r>
              <w:rPr>
                <w:rFonts w:ascii="Calibri" w:hAnsi="Calibri"/>
                <w:sz w:val="22"/>
              </w:rPr>
              <w:t>LP / Alternative Investment Returns</w:t>
            </w:r>
          </w:p>
        </w:tc>
        <w:tc>
          <w:tcPr>
            <w:tcW w:type="dxa" w:w="1728"/>
          </w:tcPr>
          <w:p>
            <w:r>
              <w:rPr>
                <w:rFonts w:ascii="Calibri" w:hAnsi="Calibri"/>
                <w:sz w:val="22"/>
              </w:rPr>
              <w:t>Geopolitical volatility may pressure LP returns near term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Risk flagged on Q1 call; CB reported strong private equity income in Q2 — positive read-through</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declined ~7% since the Q1 earnings print (from $3.32 to $3.10), reflecting the reset after the Q1 miss. However, FY2026 estimates have risen modestly (+5.6% from $11.74 to $12.40), suggesting the Street views Q2 as a trough and expects a stronger second half. Estimates are broadly tracking management's qualitative guidance, with no material divergence.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Core EPS — Q2 2026</w:t>
            </w:r>
          </w:p>
        </w:tc>
        <w:tc>
          <w:tcPr>
            <w:tcW w:type="dxa" w:w="1080"/>
          </w:tcPr>
          <w:p>
            <w:r>
              <w:rPr>
                <w:rFonts w:ascii="Calibri" w:hAnsi="Calibri"/>
                <w:sz w:val="22"/>
              </w:rPr>
              <w:t>$3.32</w:t>
            </w:r>
          </w:p>
        </w:tc>
        <w:tc>
          <w:tcPr>
            <w:tcW w:type="dxa" w:w="1080"/>
          </w:tcPr>
          <w:p>
            <w:r>
              <w:rPr>
                <w:rFonts w:ascii="Calibri" w:hAnsi="Calibri"/>
                <w:sz w:val="22"/>
              </w:rPr>
              <w:t>$3.10</w:t>
            </w:r>
          </w:p>
        </w:tc>
        <w:tc>
          <w:tcPr>
            <w:tcW w:type="dxa" w:w="1080"/>
          </w:tcPr>
          <w:p>
            <w:r>
              <w:rPr>
                <w:rFonts w:ascii="Calibri" w:hAnsi="Calibri"/>
                <w:b/>
                <w:color w:val="E5484D"/>
                <w:sz w:val="22"/>
              </w:rPr>
              <w:t>-6.6%</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FY2026</w:t>
            </w:r>
          </w:p>
        </w:tc>
        <w:tc>
          <w:tcPr>
            <w:tcW w:type="dxa" w:w="1080"/>
          </w:tcPr>
          <w:p>
            <w:r>
              <w:rPr>
                <w:rFonts w:ascii="Calibri" w:hAnsi="Calibri"/>
                <w:sz w:val="22"/>
              </w:rPr>
              <w:t>$13.06</w:t>
            </w:r>
          </w:p>
        </w:tc>
        <w:tc>
          <w:tcPr>
            <w:tcW w:type="dxa" w:w="1080"/>
          </w:tcPr>
          <w:p>
            <w:r>
              <w:rPr>
                <w:rFonts w:ascii="Calibri" w:hAnsi="Calibri"/>
                <w:sz w:val="22"/>
              </w:rPr>
              <w:t>$12.40</w:t>
            </w:r>
          </w:p>
        </w:tc>
        <w:tc>
          <w:tcPr>
            <w:tcW w:type="dxa" w:w="1080"/>
          </w:tcPr>
          <w:p>
            <w:r>
              <w:rPr>
                <w:rFonts w:ascii="Calibri" w:hAnsi="Calibri"/>
                <w:b/>
                <w:color w:val="E5484D"/>
                <w:sz w:val="22"/>
              </w:rPr>
              <w:t>-5.1%</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BI Written Premium — Q2 2026</w:t>
            </w:r>
          </w:p>
        </w:tc>
        <w:tc>
          <w:tcPr>
            <w:tcW w:type="dxa" w:w="1080"/>
          </w:tcPr>
          <w:p>
            <w:r>
              <w:rPr>
                <w:rFonts w:ascii="Calibri" w:hAnsi="Calibri"/>
                <w:sz w:val="22"/>
              </w:rPr>
              <w:t>$4,034M</w:t>
            </w:r>
          </w:p>
        </w:tc>
        <w:tc>
          <w:tcPr>
            <w:tcW w:type="dxa" w:w="1080"/>
          </w:tcPr>
          <w:p>
            <w:r>
              <w:rPr>
                <w:rFonts w:ascii="Calibri" w:hAnsi="Calibri"/>
                <w:sz w:val="22"/>
              </w:rPr>
              <w:t>$4,025M</w:t>
            </w:r>
          </w:p>
        </w:tc>
        <w:tc>
          <w:tcPr>
            <w:tcW w:type="dxa" w:w="1080"/>
          </w:tcPr>
          <w:p>
            <w:r>
              <w:rPr>
                <w:rFonts w:ascii="Calibri" w:hAnsi="Calibri"/>
                <w:sz w:val="22"/>
              </w:rPr>
              <w:t>-0.2%</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BI Written Premium — FY2026</w:t>
            </w:r>
          </w:p>
        </w:tc>
        <w:tc>
          <w:tcPr>
            <w:tcW w:type="dxa" w:w="1080"/>
          </w:tcPr>
          <w:p>
            <w:r>
              <w:rPr>
                <w:rFonts w:ascii="Calibri" w:hAnsi="Calibri"/>
                <w:sz w:val="22"/>
              </w:rPr>
              <w:t>$15,273M</w:t>
            </w:r>
          </w:p>
        </w:tc>
        <w:tc>
          <w:tcPr>
            <w:tcW w:type="dxa" w:w="1080"/>
          </w:tcPr>
          <w:p>
            <w:r>
              <w:rPr>
                <w:rFonts w:ascii="Calibri" w:hAnsi="Calibri"/>
                <w:sz w:val="22"/>
              </w:rPr>
              <w:t>$15,253M</w:t>
            </w:r>
          </w:p>
        </w:tc>
        <w:tc>
          <w:tcPr>
            <w:tcW w:type="dxa" w:w="1080"/>
          </w:tcPr>
          <w:p>
            <w:r>
              <w:rPr>
                <w:rFonts w:ascii="Calibri" w:hAnsi="Calibri"/>
                <w:sz w:val="22"/>
              </w:rPr>
              <w:t>-0.1%</w:t>
            </w:r>
          </w:p>
        </w:tc>
        <w:tc>
          <w:tcPr>
            <w:tcW w:type="dxa" w:w="1080"/>
          </w:tcPr>
          <w:p>
            <w:r>
              <w:rPr>
                <w:rFonts w:ascii="Calibri" w:hAnsi="Calibri"/>
                <w:sz w:val="22"/>
              </w:rPr>
              <w:t>No specific FY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BI Underlying CR — Q2 2026</w:t>
            </w:r>
          </w:p>
        </w:tc>
        <w:tc>
          <w:tcPr>
            <w:tcW w:type="dxa" w:w="1080"/>
          </w:tcPr>
          <w:p>
            <w:r>
              <w:rPr>
                <w:rFonts w:ascii="Calibri" w:hAnsi="Calibri"/>
                <w:sz w:val="22"/>
              </w:rPr>
              <w:t>88.36%</w:t>
            </w:r>
          </w:p>
        </w:tc>
        <w:tc>
          <w:tcPr>
            <w:tcW w:type="dxa" w:w="1080"/>
          </w:tcPr>
          <w:p>
            <w:r>
              <w:rPr>
                <w:rFonts w:ascii="Calibri" w:hAnsi="Calibri"/>
                <w:sz w:val="22"/>
              </w:rPr>
              <w:t>88.43%</w:t>
            </w:r>
          </w:p>
        </w:tc>
        <w:tc>
          <w:tcPr>
            <w:tcW w:type="dxa" w:w="1080"/>
          </w:tcPr>
          <w:p>
            <w:r>
              <w:rPr>
                <w:rFonts w:ascii="Calibri" w:hAnsi="Calibri"/>
                <w:sz w:val="22"/>
              </w:rPr>
              <w:t>+0.1 pts</w:t>
            </w:r>
          </w:p>
        </w:tc>
        <w:tc>
          <w:tcPr>
            <w:tcW w:type="dxa" w:w="1080"/>
          </w:tcPr>
          <w:p>
            <w:r>
              <w:rPr>
                <w:rFonts w:ascii="Calibri" w:hAnsi="Calibri"/>
                <w:sz w:val="22"/>
              </w:rPr>
              <w:t>No specific Q2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Investment Income — Q2 2026</w:t>
            </w:r>
          </w:p>
        </w:tc>
        <w:tc>
          <w:tcPr>
            <w:tcW w:type="dxa" w:w="1080"/>
          </w:tcPr>
          <w:p>
            <w:r>
              <w:rPr>
                <w:rFonts w:ascii="Calibri" w:hAnsi="Calibri"/>
                <w:sz w:val="22"/>
              </w:rPr>
              <w:t>$741M</w:t>
            </w:r>
          </w:p>
        </w:tc>
        <w:tc>
          <w:tcPr>
            <w:tcW w:type="dxa" w:w="1080"/>
          </w:tcPr>
          <w:p>
            <w:r>
              <w:rPr>
                <w:rFonts w:ascii="Calibri" w:hAnsi="Calibri"/>
                <w:sz w:val="22"/>
              </w:rPr>
              <w:t>$729M</w:t>
            </w:r>
          </w:p>
        </w:tc>
        <w:tc>
          <w:tcPr>
            <w:tcW w:type="dxa" w:w="1080"/>
          </w:tcPr>
          <w:p>
            <w:r>
              <w:rPr>
                <w:rFonts w:ascii="Calibri" w:hAnsi="Calibri"/>
                <w:sz w:val="22"/>
              </w:rPr>
              <w:t>-1.6%</w:t>
            </w:r>
          </w:p>
        </w:tc>
        <w:tc>
          <w:tcPr>
            <w:tcW w:type="dxa" w:w="1080"/>
          </w:tcPr>
          <w:p>
            <w:r>
              <w:rPr>
                <w:rFonts w:ascii="Calibri" w:hAnsi="Calibri"/>
                <w:sz w:val="22"/>
              </w:rPr>
              <w:t>FY2026 NII to increase vs. 2025</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Tracking guidance</w:t>
            </w:r>
          </w:p>
        </w:tc>
      </w:tr>
    </w:tbl>
    <w:p>
      <w:r>
        <w:rPr>
          <w:rFonts w:ascii="Calibri" w:hAnsi="Calibri"/>
          <w:color w:val="525866"/>
          <w:sz w:val="22"/>
        </w:rPr>
        <w:t>The post-Q1 estimate reset is notable: Q2 EPS consensus fell ~6.6% and FY2026 fell ~5.1% from the post-Q1 baseline, reflecting the Street's recalibration after the Q1 miss. However, the FY2026 estimate decline is smaller than the Q2 decline, implying analysts expect H2 2026 to be stronger. Business Insurance written premium and underlying combined ratio estimates have been remarkably stable, suggesting the Street has high conviction in the underwriting trajectory. The key risk is whether LP income (which was elevated in Q1 at $75M vs. $39M in Q1 2025) normalizes in Q2, which could pressure NII relative to consensus.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HIG has significantly underperformed the insurance sector (KIE +9.3%) and the S&amp;P 500 (+5.6%) since the Q1 2026 earnings date, returning only +1.7% — driven almost entirely by multiple compression following the Q1 EPS miss. This underperformance creates a lower bar and potential for catch-up if Q2 delivers a clean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HIG vs. KIE (SPDR S&amp;P Insurance ETF) vs. S&amp;P 500 — Indexed to 100 at Q1 2026 Earnings Date (April 23, 2026). HIG +1.7%, KIE +9.3%, SPY +5.6% through July 23, 2026. Vertical dashed line marks July 15, 2026 board appointment announcement. Source: Yahoo Finance / Stock Price Data.</w:t>
      </w:r>
    </w:p>
    <w:p>
      <w:r>
        <w:rPr>
          <w:rFonts w:ascii="Calibri" w:hAnsi="Calibri"/>
          <w:b/>
          <w:color w:val="525866"/>
          <w:sz w:val="22"/>
        </w:rPr>
        <w:t xml:space="preserve">Performance decomposition: </w:t>
      </w:r>
      <w:r>
        <w:rPr>
          <w:rFonts w:ascii="Calibri" w:hAnsi="Calibri"/>
          <w:color w:val="525866"/>
          <w:sz w:val="22"/>
        </w:rPr>
        <w:t>Over the past 12 months, HIG's +16.1% total return has been driven by a combination of earnings growth and modest multiple expansion (P/E expanded from ~10.2x to ~10.8x NTM). However, since the Q1 2026 earnings miss, the stock has lagged badly — the insurance sector (KIE) has rallied sharply on strong peer results from TRV, CB, and WRB, while HIG has been held back by investor concern over the Q1 EPS miss and elevated Employee Benefits disability trends. The current NTM P/E of ~10.8x is at a modest premium to the 12-month starting multiple of ~10.2x but well below the broader market, suggesting valuation is not stretched. A clean Q2 print could catalyze a re-rating toward the sector.</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wave of peer Q2 2026 results (TRV, CB, WRB, PGR, ALL) that collectively signal a strong underwriting environment with favorable reserve development — a constructive read-through for HIG's Business Insurance segment heading into its July 24 print.</w:t>
      </w:r>
    </w:p>
    <w:p>
      <w:pPr>
        <w:pStyle w:val="ListBullet"/>
        <w:ind w:left="360" w:hanging="360"/>
      </w:pPr>
      <w:r>
        <w:rPr>
          <w:rFonts w:ascii="Calibri" w:hAnsi="Calibri"/>
          <w:b/>
          <w:color w:val="525866"/>
          <w:sz w:val="22"/>
        </w:rPr>
        <w:t xml:space="preserve">July 22, 2026 — Chubb (CB) Q2 2026 Earnings Beat: </w:t>
      </w:r>
      <w:r>
        <w:rPr>
          <w:rFonts w:ascii="Calibri" w:hAnsi="Calibri"/>
          <w:color w:val="525866"/>
          <w:sz w:val="22"/>
        </w:rPr>
        <w:t xml:space="preserve">CB reported Q2 EPS of $7.26 vs. consensus $6.75, with combined ratio ~200bps better than expected. Casualty pricing up 7.1% in North America. Adjusted NII a record $1.88B. </w:t>
      </w:r>
      <w:r>
        <w:rPr>
          <w:rFonts w:ascii="Calibri" w:hAnsi="Calibri"/>
          <w:i/>
          <w:color w:val="525866"/>
          <w:sz w:val="22"/>
        </w:rPr>
        <w:t xml:space="preserve">Implication: </w:t>
      </w:r>
      <w:r>
        <w:rPr>
          <w:rFonts w:ascii="Calibri" w:hAnsi="Calibri"/>
          <w:i/>
          <w:color w:val="525866"/>
          <w:sz w:val="22"/>
        </w:rPr>
        <w:t>Strong positive read-through for HIG's Business Insurance underwriting margins and investment income.</w:t>
      </w:r>
    </w:p>
    <w:p>
      <w:pPr>
        <w:pStyle w:val="ListBullet"/>
        <w:ind w:left="360" w:hanging="360"/>
      </w:pPr>
      <w:r>
        <w:rPr>
          <w:rFonts w:ascii="Calibri" w:hAnsi="Calibri"/>
          <w:b/>
          <w:color w:val="525866"/>
          <w:sz w:val="22"/>
        </w:rPr>
        <w:t xml:space="preserve">July 20, 2026 — W.R. Berkley (WRB) Q2 2026 Earnings Beat: </w:t>
      </w:r>
      <w:r>
        <w:rPr>
          <w:rFonts w:ascii="Calibri" w:hAnsi="Calibri"/>
          <w:color w:val="525866"/>
          <w:sz w:val="22"/>
        </w:rPr>
        <w:t xml:space="preserve">WRB reported EPS of $1.27 vs. consensus $1.08, with record NII of $419M and combined ratio ~90bps better than expected. Gross premiums written grew 5.4% to a record $3.8B. </w:t>
      </w:r>
      <w:r>
        <w:rPr>
          <w:rFonts w:ascii="Calibri" w:hAnsi="Calibri"/>
          <w:i/>
          <w:color w:val="525866"/>
          <w:sz w:val="22"/>
        </w:rPr>
        <w:t xml:space="preserve">Implication: </w:t>
      </w:r>
      <w:r>
        <w:rPr>
          <w:rFonts w:ascii="Calibri" w:hAnsi="Calibri"/>
          <w:i/>
          <w:color w:val="525866"/>
          <w:sz w:val="22"/>
        </w:rPr>
        <w:t>Confirms strong commercial lines underwriting environment; record NII is a positive signal for HIG's investment income.</w:t>
      </w:r>
    </w:p>
    <w:p>
      <w:pPr>
        <w:pStyle w:val="ListBullet"/>
        <w:ind w:left="360" w:hanging="360"/>
      </w:pPr>
      <w:r>
        <w:rPr>
          <w:rFonts w:ascii="Calibri" w:hAnsi="Calibri"/>
          <w:b/>
          <w:color w:val="525866"/>
          <w:sz w:val="22"/>
        </w:rPr>
        <w:t xml:space="preserve">July 17, 2026 — Travelers (TRV) Q2 2026 Earnings Significant Beat: </w:t>
      </w:r>
      <w:r>
        <w:rPr>
          <w:rFonts w:ascii="Calibri" w:hAnsi="Calibri"/>
          <w:color w:val="525866"/>
          <w:sz w:val="22"/>
        </w:rPr>
        <w:t xml:space="preserve">TRV reported core EPS of $10.04 vs. consensus $5.41, with underlying combined ratio of 84.1% and net favorable PYD of $578M pre-tax. Business Insurance NWP up 5% YoY. </w:t>
      </w:r>
      <w:r>
        <w:rPr>
          <w:rFonts w:ascii="Calibri" w:hAnsi="Calibri"/>
          <w:i/>
          <w:color w:val="525866"/>
          <w:sz w:val="22"/>
        </w:rPr>
        <w:t xml:space="preserve">Implication: </w:t>
      </w:r>
      <w:r>
        <w:rPr>
          <w:rFonts w:ascii="Calibri" w:hAnsi="Calibri"/>
          <w:i/>
          <w:color w:val="525866"/>
          <w:sz w:val="22"/>
        </w:rPr>
        <w:t>Very strong read-through for HIG's Business Insurance; favorable reserve development in workers' comp and commercial property is particularly relevant.</w:t>
      </w:r>
    </w:p>
    <w:p>
      <w:pPr>
        <w:pStyle w:val="ListBullet"/>
        <w:ind w:left="360" w:hanging="360"/>
      </w:pPr>
      <w:r>
        <w:rPr>
          <w:rFonts w:ascii="Calibri" w:hAnsi="Calibri"/>
          <w:b/>
          <w:color w:val="525866"/>
          <w:sz w:val="22"/>
        </w:rPr>
        <w:t xml:space="preserve">July 16, 2026 — Allstate (ALL) June 2026 Catastrophe Loss Disclosure: </w:t>
      </w:r>
      <w:r>
        <w:rPr>
          <w:rFonts w:ascii="Calibri" w:hAnsi="Calibri"/>
          <w:color w:val="525866"/>
          <w:sz w:val="22"/>
        </w:rPr>
        <w:t xml:space="preserve">ALL disclosed Q2 2026 total catastrophe losses of $1.72B ($1.36B after-tax), with June alone at $563M. </w:t>
      </w:r>
      <w:r>
        <w:rPr>
          <w:rFonts w:ascii="Calibri" w:hAnsi="Calibri"/>
          <w:i/>
          <w:color w:val="525866"/>
          <w:sz w:val="22"/>
        </w:rPr>
        <w:t xml:space="preserve">Implication: </w:t>
      </w:r>
      <w:r>
        <w:rPr>
          <w:rFonts w:ascii="Calibri" w:hAnsi="Calibri"/>
          <w:i/>
          <w:color w:val="525866"/>
          <w:sz w:val="22"/>
        </w:rPr>
        <w:t>Signals a moderately elevated catastrophe quarter for the industry; HIG's Business Insurance and Personal Lines cat exposure will be closely watched.</w:t>
      </w:r>
    </w:p>
    <w:p>
      <w:pPr>
        <w:pStyle w:val="ListBullet"/>
        <w:ind w:left="360" w:hanging="360"/>
      </w:pPr>
      <w:r>
        <w:rPr>
          <w:rFonts w:ascii="Calibri" w:hAnsi="Calibri"/>
          <w:b/>
          <w:color w:val="525866"/>
          <w:sz w:val="22"/>
        </w:rPr>
        <w:t xml:space="preserve">July 16, 2026 — Allstate CFO Change: </w:t>
      </w:r>
      <w:r>
        <w:rPr>
          <w:rFonts w:ascii="Calibri" w:hAnsi="Calibri"/>
          <w:color w:val="525866"/>
          <w:sz w:val="22"/>
        </w:rPr>
        <w:t xml:space="preserve">ALL named Christian M. Lown as new CFO, effective August 2026. </w:t>
      </w:r>
      <w:r>
        <w:rPr>
          <w:rFonts w:ascii="Calibri" w:hAnsi="Calibri"/>
          <w:i/>
          <w:color w:val="525866"/>
          <w:sz w:val="22"/>
        </w:rPr>
        <w:t xml:space="preserve">Implication: </w:t>
      </w:r>
      <w:r>
        <w:rPr>
          <w:rFonts w:ascii="Calibri" w:hAnsi="Calibri"/>
          <w:i/>
          <w:color w:val="525866"/>
          <w:sz w:val="22"/>
        </w:rPr>
        <w:t>Industry-level leadership change; no direct read-through to HIG.</w:t>
      </w:r>
    </w:p>
    <w:p>
      <w:pPr>
        <w:pStyle w:val="ListBullet"/>
        <w:ind w:left="360" w:hanging="360"/>
      </w:pPr>
      <w:r>
        <w:rPr>
          <w:rFonts w:ascii="Calibri" w:hAnsi="Calibri"/>
          <w:b/>
          <w:color w:val="525866"/>
          <w:sz w:val="22"/>
        </w:rPr>
        <w:t xml:space="preserve">July 15, 2026 — HIG Board Appointment: </w:t>
      </w:r>
      <w:r>
        <w:rPr>
          <w:rFonts w:ascii="Calibri" w:hAnsi="Calibri"/>
          <w:color w:val="525866"/>
          <w:sz w:val="22"/>
        </w:rPr>
        <w:t xml:space="preserve">The Hartford appointed Randy Larsen (former CEO of AssuredPartners, a large commercial P&amp;C and employee benefits brokerage) to its Board of Directors, effective September 1, 2026. Larsen will serve on the Finance, Investment and Risk Management Committee and the Nominating and Corporate Governance Committee. </w:t>
      </w:r>
      <w:r>
        <w:rPr>
          <w:rFonts w:ascii="Calibri" w:hAnsi="Calibri"/>
          <w:i/>
          <w:color w:val="525866"/>
          <w:sz w:val="22"/>
        </w:rPr>
        <w:t xml:space="preserve">Implication: </w:t>
      </w:r>
      <w:r>
        <w:rPr>
          <w:rFonts w:ascii="Calibri" w:hAnsi="Calibri"/>
          <w:i/>
          <w:color w:val="525866"/>
          <w:sz w:val="22"/>
        </w:rPr>
        <w:t>Adds distribution/brokerage expertise to the board; no financial guidance implications.</w:t>
      </w:r>
    </w:p>
    <w:p>
      <w:pPr>
        <w:pStyle w:val="ListBullet"/>
        <w:ind w:left="360" w:hanging="360"/>
      </w:pPr>
      <w:r>
        <w:rPr>
          <w:rFonts w:ascii="Calibri" w:hAnsi="Calibri"/>
          <w:b/>
          <w:color w:val="525866"/>
          <w:sz w:val="22"/>
        </w:rPr>
        <w:t xml:space="preserve">July 15, 2026 — Progressive (PGR) Q2 2026 Results: </w:t>
      </w:r>
      <w:r>
        <w:rPr>
          <w:rFonts w:ascii="Calibri" w:hAnsi="Calibri"/>
          <w:color w:val="525866"/>
          <w:sz w:val="22"/>
        </w:rPr>
        <w:t xml:space="preserve">PGR reported Q2 combined ratio of 90.0% (up 3.4 pts YoY), with personal lines policies in force up 8% YoY. A one-time favorable actuarial methodology change added 11.7 pts to the combined ratio. Shares fell ~4% on the elevated combined ratio. </w:t>
      </w:r>
      <w:r>
        <w:rPr>
          <w:rFonts w:ascii="Calibri" w:hAnsi="Calibri"/>
          <w:i/>
          <w:color w:val="525866"/>
          <w:sz w:val="22"/>
        </w:rPr>
        <w:t xml:space="preserve">Implication: </w:t>
      </w:r>
      <w:r>
        <w:rPr>
          <w:rFonts w:ascii="Calibri" w:hAnsi="Calibri"/>
          <w:i/>
          <w:color w:val="525866"/>
          <w:sz w:val="22"/>
        </w:rPr>
        <w:t>Mixed read-through for HIG's Personal Lines — industry auto growth remains strong but pricing is moderating; HIG's Prevail platform rollout is key to capturing share.</w:t>
      </w:r>
    </w:p>
    <w:p>
      <w:pPr>
        <w:pStyle w:val="ListBullet"/>
        <w:ind w:left="360" w:hanging="360"/>
      </w:pPr>
      <w:r>
        <w:rPr>
          <w:rFonts w:ascii="Calibri" w:hAnsi="Calibri"/>
          <w:b/>
          <w:color w:val="525866"/>
          <w:sz w:val="22"/>
        </w:rPr>
        <w:t xml:space="preserve">July 14, 2026 — Allstate June 2026 Cat Losses (8-K): </w:t>
      </w:r>
      <w:r>
        <w:rPr>
          <w:rFonts w:ascii="Calibri" w:hAnsi="Calibri"/>
          <w:color w:val="525866"/>
          <w:sz w:val="22"/>
        </w:rPr>
        <w:t xml:space="preserve">Allstate disclosed June 2026 estimated catastrophe losses of $563M ($445M after-tax), bringing Q2 total to $1.72B. </w:t>
      </w:r>
      <w:r>
        <w:rPr>
          <w:rFonts w:ascii="Calibri" w:hAnsi="Calibri"/>
          <w:i/>
          <w:color w:val="525866"/>
          <w:sz w:val="22"/>
        </w:rPr>
        <w:t xml:space="preserve">Implication: </w:t>
      </w:r>
      <w:r>
        <w:rPr>
          <w:rFonts w:ascii="Calibri" w:hAnsi="Calibri"/>
          <w:i/>
          <w:color w:val="525866"/>
          <w:sz w:val="22"/>
        </w:rPr>
        <w:t>Elevated industry cat activity in Q2; HIG's aggregate reinsurance treaty (kicks in at $750M subject losses) will be a focus — through Q1, HIG was at $204M of the $750M threshold.</w:t>
      </w:r>
    </w:p>
    <w:p>
      <w:r>
        <w:br w:type="page"/>
      </w:r>
    </w:p>
    <w:p>
      <w:pPr>
        <w:pStyle w:val="Heading1"/>
        <w:pBdr>
          <w:bottom w:val="single" w:sz="4" w:space="1" w:color="FB9120"/>
        </w:pBdr>
      </w:pPr>
      <w:r>
        <w:rPr>
          <w:rFonts w:ascii="Calibri" w:hAnsi="Calibri"/>
          <w:b/>
          <w:color w:val="3B4259"/>
          <w:sz w:val="40"/>
        </w:rPr>
        <w:t>7. Peer Read-Throughs (Last 60 Days — Q2 2026 Current Quarter Only)</w:t>
      </w:r>
    </w:p>
    <w:p>
      <w:r>
        <w:rPr>
          <w:rFonts w:ascii="Calibri" w:hAnsi="Calibri"/>
          <w:b/>
          <w:color w:val="525866"/>
          <w:sz w:val="22"/>
        </w:rPr>
        <w:t xml:space="preserve">Key Takeaway: </w:t>
      </w:r>
      <w:r>
        <w:rPr>
          <w:rFonts w:ascii="Calibri" w:hAnsi="Calibri"/>
          <w:color w:val="525866"/>
          <w:sz w:val="22"/>
        </w:rPr>
        <w:t>Peers reporting Q2 2026 results ahead of HIG paint a broadly constructive picture: strong commercial lines underwriting margins, favorable prior-year reserve development (especially in workers' comp), record investment income, and manageable catastrophe losses. The primary risk flagged by peers is casualty loss cost inflation (6-12% annually) outpacing pricing in certain large-account segments — a dynamic HIG's small/middle market focus partially insulates it from.</w:t>
      </w:r>
    </w:p>
    <w:p>
      <w:r>
        <w:rPr>
          <w:rFonts w:ascii="Calibri" w:hAnsi="Calibri"/>
          <w:b/>
          <w:color w:val="525866"/>
          <w:sz w:val="22"/>
        </w:rPr>
        <w:t xml:space="preserve">Note: </w:t>
      </w:r>
      <w:r>
        <w:rPr>
          <w:rFonts w:ascii="Calibri" w:hAnsi="Calibri"/>
          <w:i/>
          <w:color w:val="525866"/>
          <w:sz w:val="22"/>
        </w:rPr>
        <w:t>Only commentary from Q2 2026 earnings releases and calls (reporting on the quarter ended June 30, 2026) is included below. Prior-quarter earnings calls discussing Q1 2026 results are excluded. All sources reported between July 15–22, 2026.</w:t>
      </w:r>
    </w:p>
    <w:p>
      <w:pPr>
        <w:pStyle w:val="Heading2"/>
      </w:pPr>
      <w:r>
        <w:rPr>
          <w:rFonts w:ascii="Calibri" w:hAnsi="Calibri"/>
          <w:b/>
          <w:color w:val="3B4259"/>
          <w:sz w:val="28"/>
        </w:rPr>
        <w:t>Travelers Companies (TRV) — Q2 2026 Earnings Call, July 17, 2026</w:t>
      </w:r>
    </w:p>
    <w:p>
      <w:r>
        <w:rPr>
          <w:rFonts w:ascii="Calibri" w:hAnsi="Calibri"/>
          <w:b/>
          <w:color w:val="525866"/>
          <w:sz w:val="22"/>
        </w:rPr>
        <w:t xml:space="preserve">Relevance to HIG: </w:t>
      </w:r>
      <w:r>
        <w:rPr>
          <w:rFonts w:ascii="Calibri" w:hAnsi="Calibri"/>
          <w:color w:val="525866"/>
          <w:sz w:val="22"/>
        </w:rPr>
        <w:t>TRV is HIG's closest commercial lines peer, with similar exposure to Business Insurance (small/middle market, specialty), Personal Lines, and Bond &amp; Specialty. TRV reports before HIG and is the single most important read-through.</w:t>
      </w:r>
    </w:p>
    <w:p>
      <w:pPr>
        <w:pStyle w:val="ListBullet"/>
        <w:ind w:left="360" w:hanging="360"/>
      </w:pPr>
      <w:r>
        <w:rPr>
          <w:rFonts w:ascii="Calibri" w:hAnsi="Calibri"/>
          <w:b/>
          <w:color w:val="525866"/>
          <w:sz w:val="22"/>
        </w:rPr>
        <w:t xml:space="preserve">Commercial Lines Pricing: </w:t>
      </w:r>
      <w:r>
        <w:rPr>
          <w:rFonts w:ascii="Calibri" w:hAnsi="Calibri"/>
          <w:color w:val="525866"/>
          <w:sz w:val="22"/>
        </w:rPr>
        <w:t xml:space="preserve">Business Insurance renewal premium change (RPC) was 4.8% overall, with middle market at 6.1% (stable) and small commercial at 9.4% (sequentially higher). Excluding property, RPC was 7.8% and flat sequentially. Retention remained very strong at 86%. New business was a record $805M, up 8% YoY. </w:t>
      </w:r>
      <w:r>
        <w:rPr>
          <w:rFonts w:ascii="Calibri" w:hAnsi="Calibri"/>
          <w:i/>
          <w:color w:val="525866"/>
          <w:sz w:val="22"/>
        </w:rPr>
        <w:t xml:space="preserve">HIG Read-Through: </w:t>
      </w:r>
      <w:r>
        <w:rPr>
          <w:rFonts w:ascii="Calibri" w:hAnsi="Calibri"/>
          <w:i/>
          <w:color w:val="525866"/>
          <w:sz w:val="22"/>
        </w:rPr>
        <w:t>Positive — suggests HIG's Business Insurance pricing environment remains supportive, particularly in small/middle market where HIG is concentrated.</w:t>
      </w:r>
    </w:p>
    <w:p>
      <w:pPr>
        <w:pStyle w:val="ListBullet"/>
        <w:ind w:left="360" w:hanging="360"/>
      </w:pPr>
      <w:r>
        <w:rPr>
          <w:rFonts w:ascii="Calibri" w:hAnsi="Calibri"/>
          <w:b/>
          <w:color w:val="525866"/>
          <w:sz w:val="22"/>
        </w:rPr>
        <w:t xml:space="preserve">Property Market: </w:t>
      </w:r>
      <w:r>
        <w:rPr>
          <w:rFonts w:ascii="Calibri" w:hAnsi="Calibri"/>
          <w:color w:val="525866"/>
          <w:sz w:val="22"/>
        </w:rPr>
        <w:t xml:space="preserve">TRV continues to be very disciplined about writing national property, passing on business where price and terms don't align. Middle market property pricing is not seeing a material shift in terms and conditions — the softness is a 'national property dynamic.' Property pricing is 'incrementally softer.' </w:t>
      </w:r>
      <w:r>
        <w:rPr>
          <w:rFonts w:ascii="Calibri" w:hAnsi="Calibri"/>
          <w:i/>
          <w:color w:val="525866"/>
          <w:sz w:val="22"/>
        </w:rPr>
        <w:t xml:space="preserve">HIG Read-Through: </w:t>
      </w:r>
      <w:r>
        <w:rPr>
          <w:rFonts w:ascii="Calibri" w:hAnsi="Calibri"/>
          <w:i/>
          <w:color w:val="525866"/>
          <w:sz w:val="22"/>
        </w:rPr>
        <w:t>Neutral to positive — HIG's property book is 60% concentrated in small business package and middle market general industries, which TRV confirms is holding up better than large/national property.</w:t>
      </w:r>
    </w:p>
    <w:p>
      <w:pPr>
        <w:pStyle w:val="ListBullet"/>
        <w:ind w:left="360" w:hanging="360"/>
      </w:pPr>
      <w:r>
        <w:rPr>
          <w:rFonts w:ascii="Calibri" w:hAnsi="Calibri"/>
          <w:b/>
          <w:color w:val="525866"/>
          <w:sz w:val="22"/>
        </w:rPr>
        <w:t xml:space="preserve">Reserve Development: </w:t>
      </w:r>
      <w:r>
        <w:rPr>
          <w:rFonts w:ascii="Calibri" w:hAnsi="Calibri"/>
          <w:color w:val="525866"/>
          <w:sz w:val="22"/>
        </w:rPr>
        <w:t xml:space="preserve">Net favorable PYD of $578M pre-tax in Q2, with Business Insurance contributing $319M (driven by workers' comp at ~$200M+ and commercial property). TRV noted 'no pressure' in casualty lines including umbrella and commercial auto. The uncertainty provision carried from 2024-2025 into 2026 was not taken down. </w:t>
      </w:r>
      <w:r>
        <w:rPr>
          <w:rFonts w:ascii="Calibri" w:hAnsi="Calibri"/>
          <w:i/>
          <w:color w:val="525866"/>
          <w:sz w:val="22"/>
        </w:rPr>
        <w:t xml:space="preserve">HIG Read-Through: </w:t>
      </w:r>
      <w:r>
        <w:rPr>
          <w:rFonts w:ascii="Calibri" w:hAnsi="Calibri"/>
          <w:i/>
          <w:color w:val="525866"/>
          <w:sz w:val="22"/>
        </w:rPr>
        <w:t>Positive — favorable workers' comp development is a strong signal for HIG, which also has significant WC exposure. The maintained uncertainty provision suggests TRV is being conservative, which is consistent with HIG's approach.</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After-tax cat losses were 'a little more than $400M' for Q2. TRV replaced its expiring Cat bond with a new $750M bond (up from $575M) and renewed its northeast property Cat XOL treaty providing $1B of coverage above $2.75B attachment. </w:t>
      </w:r>
      <w:r>
        <w:rPr>
          <w:rFonts w:ascii="Calibri" w:hAnsi="Calibri"/>
          <w:i/>
          <w:color w:val="525866"/>
          <w:sz w:val="22"/>
        </w:rPr>
        <w:t xml:space="preserve">HIG Read-Through: </w:t>
      </w:r>
      <w:r>
        <w:rPr>
          <w:rFonts w:ascii="Calibri" w:hAnsi="Calibri"/>
          <w:i/>
          <w:color w:val="525866"/>
          <w:sz w:val="22"/>
        </w:rPr>
        <w:t>Moderately negative — $400M+ in cat losses for TRV suggests an elevated but not catastrophic Q2 for the industry. HIG's aggregate treaty threshold ($750M subject losses) will be a focus.</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After-tax NII increased 14% to $883M, driven by higher yields and higher invested assets. New money yields at end of Q2 were ~90bps higher than the portfolio yield. Fixed income NII outlook: ~$840M in Q3 and ~$870M in Q4. </w:t>
      </w:r>
      <w:r>
        <w:rPr>
          <w:rFonts w:ascii="Calibri" w:hAnsi="Calibri"/>
          <w:i/>
          <w:color w:val="525866"/>
          <w:sz w:val="22"/>
        </w:rPr>
        <w:t xml:space="preserve">HIG Read-Through: </w:t>
      </w:r>
      <w:r>
        <w:rPr>
          <w:rFonts w:ascii="Calibri" w:hAnsi="Calibri"/>
          <w:i/>
          <w:color w:val="525866"/>
          <w:sz w:val="22"/>
        </w:rPr>
        <w:t>Positive — confirms the NII tailwind from reinvestment at higher rates is intact and growing. HIG's NII trajectory should benefit from the same dynamic.</w:t>
      </w:r>
    </w:p>
    <w:p>
      <w:pPr>
        <w:pStyle w:val="ListBullet"/>
        <w:ind w:left="360" w:hanging="360"/>
      </w:pPr>
      <w:r>
        <w:rPr>
          <w:rFonts w:ascii="Calibri" w:hAnsi="Calibri"/>
          <w:b/>
          <w:color w:val="525866"/>
          <w:sz w:val="22"/>
        </w:rPr>
        <w:t xml:space="preserve">Personal Lines: </w:t>
      </w:r>
      <w:r>
        <w:rPr>
          <w:rFonts w:ascii="Calibri" w:hAnsi="Calibri"/>
          <w:color w:val="525866"/>
          <w:sz w:val="22"/>
        </w:rPr>
        <w:t xml:space="preserve">Combined ratio of 79.5% (underlying 77.3%). Auto combined ratio 82.8% with underlying 85.8%. Homeowners combined ratio 76.7% with underlying 70.1%. Renewal premium change in auto was flat as profitability improved; homeowners RPC of 6.6% continued to moderate. </w:t>
      </w:r>
      <w:r>
        <w:rPr>
          <w:rFonts w:ascii="Calibri" w:hAnsi="Calibri"/>
          <w:i/>
          <w:color w:val="525866"/>
          <w:sz w:val="22"/>
        </w:rPr>
        <w:t xml:space="preserve">HIG Read-Through: </w:t>
      </w:r>
      <w:r>
        <w:rPr>
          <w:rFonts w:ascii="Calibri" w:hAnsi="Calibri"/>
          <w:i/>
          <w:color w:val="525866"/>
          <w:sz w:val="22"/>
        </w:rPr>
        <w:t>Positive for HIG's Personal Lines profitability trajectory — confirms the industry is at or near target margins. However, HIG's auto written premium is declining (-10% in Q1) due to competitive market dynamics, which TRV's flat auto RPC confirms.</w:t>
      </w:r>
    </w:p>
    <w:p>
      <w:pPr>
        <w:pStyle w:val="Heading2"/>
      </w:pPr>
      <w:r>
        <w:rPr>
          <w:rFonts w:ascii="Calibri" w:hAnsi="Calibri"/>
          <w:b/>
          <w:color w:val="3B4259"/>
          <w:sz w:val="28"/>
        </w:rPr>
        <w:t>Chubb Limited (CB) — Q2 2026 Earnings Call, July 22, 2026</w:t>
      </w:r>
    </w:p>
    <w:p>
      <w:r>
        <w:rPr>
          <w:rFonts w:ascii="Calibri" w:hAnsi="Calibri"/>
          <w:b/>
          <w:color w:val="525866"/>
          <w:sz w:val="22"/>
        </w:rPr>
        <w:t xml:space="preserve">Relevance to HIG: </w:t>
      </w:r>
      <w:r>
        <w:rPr>
          <w:rFonts w:ascii="Calibri" w:hAnsi="Calibri"/>
          <w:color w:val="525866"/>
          <w:sz w:val="22"/>
        </w:rPr>
        <w:t>CB is a major global P&amp;C insurer with significant North America commercial lines exposure. CB's commentary on casualty loss trends, pricing dynamics, and investment income is highly relevant. CB's focus on large accounts and high net worth personal lines differs from HIG's SME focus, so some commentary requires adjustment.</w:t>
      </w:r>
    </w:p>
    <w:p>
      <w:pPr>
        <w:pStyle w:val="ListBullet"/>
        <w:ind w:left="360" w:hanging="360"/>
      </w:pPr>
      <w:r>
        <w:rPr>
          <w:rFonts w:ascii="Calibri" w:hAnsi="Calibri"/>
          <w:b/>
          <w:color w:val="525866"/>
          <w:sz w:val="22"/>
        </w:rPr>
        <w:t xml:space="preserve">Casualty Loss Cost Trends (Critical Warning): </w:t>
      </w:r>
      <w:r>
        <w:rPr>
          <w:rFonts w:ascii="Calibri" w:hAnsi="Calibri"/>
          <w:color w:val="525866"/>
          <w:sz w:val="22"/>
        </w:rPr>
        <w:t xml:space="preserve">CB flagged that U.S. casualty loss costs are rising at 'a pretty steady 6 to 7% for primary casualty, and 9 to 12% for excess, per year.' There is 'zero evidence across the industry that loss costs have abated.' Pricing in 'numerous areas of casualty are failing to keep pace with loss costs.' </w:t>
      </w:r>
      <w:r>
        <w:rPr>
          <w:rFonts w:ascii="Calibri" w:hAnsi="Calibri"/>
          <w:i/>
          <w:color w:val="525866"/>
          <w:sz w:val="22"/>
        </w:rPr>
        <w:t xml:space="preserve">HIG Read-Through: </w:t>
      </w:r>
      <w:r>
        <w:rPr>
          <w:rFonts w:ascii="Calibri" w:hAnsi="Calibri"/>
          <w:i/>
          <w:color w:val="525866"/>
          <w:sz w:val="22"/>
        </w:rPr>
        <w:t>Important risk flag — if casualty loss costs are running 6-7% and HIG's GL pricing was 9.7% in Q1 (with primary in high single digits), the margin is thin. HIG's small/middle market focus may provide some insulation vs. large account dynamics CB is describing.</w:t>
      </w:r>
    </w:p>
    <w:p>
      <w:pPr>
        <w:pStyle w:val="ListBullet"/>
        <w:ind w:left="360" w:hanging="360"/>
      </w:pPr>
      <w:r>
        <w:rPr>
          <w:rFonts w:ascii="Calibri" w:hAnsi="Calibri"/>
          <w:b/>
          <w:color w:val="525866"/>
          <w:sz w:val="22"/>
        </w:rPr>
        <w:t xml:space="preserve">Soft Market Spreading to Casualty: </w:t>
      </w:r>
      <w:r>
        <w:rPr>
          <w:rFonts w:ascii="Calibri" w:hAnsi="Calibri"/>
          <w:color w:val="525866"/>
          <w:sz w:val="22"/>
        </w:rPr>
        <w:t xml:space="preserve">CB noted 'soft market conditions have begun to spread beyond property to more casualty lines, particularly in certain classes of large account middle market.' London is 'actively writing U.S. casualty for the last few quarters, a movie we have seen before.' </w:t>
      </w:r>
      <w:r>
        <w:rPr>
          <w:rFonts w:ascii="Calibri" w:hAnsi="Calibri"/>
          <w:i/>
          <w:color w:val="525866"/>
          <w:sz w:val="22"/>
        </w:rPr>
        <w:t xml:space="preserve">HIG Read-Through: </w:t>
      </w:r>
      <w:r>
        <w:rPr>
          <w:rFonts w:ascii="Calibri" w:hAnsi="Calibri"/>
          <w:i/>
          <w:color w:val="525866"/>
          <w:sz w:val="22"/>
        </w:rPr>
        <w:t>Moderate risk — HIG's middle market casualty exposure could face incremental competitive pressure, though HIG's small business concentration (60%+ of property book) is less exposed to the large-account dynamics CB describes.</w:t>
      </w:r>
    </w:p>
    <w:p>
      <w:pPr>
        <w:pStyle w:val="ListBullet"/>
        <w:ind w:left="360" w:hanging="360"/>
      </w:pPr>
      <w:r>
        <w:rPr>
          <w:rFonts w:ascii="Calibri" w:hAnsi="Calibri"/>
          <w:b/>
          <w:color w:val="525866"/>
          <w:sz w:val="22"/>
        </w:rPr>
        <w:t xml:space="preserve">Small/Middle Market Outperformance: </w:t>
      </w:r>
      <w:r>
        <w:rPr>
          <w:rFonts w:ascii="Calibri" w:hAnsi="Calibri"/>
          <w:color w:val="525866"/>
          <w:sz w:val="22"/>
        </w:rPr>
        <w:t xml:space="preserve">CB's middle market and small commercial division grew almost 9%, with P&amp;C lines up 12%. Middle market and small commercial property pricing was up 2.3% (vs. large account property down 12%). CB noted a 'higher barrier for small to middle market' due to the need for strong field operations and technology. </w:t>
      </w:r>
      <w:r>
        <w:rPr>
          <w:rFonts w:ascii="Calibri" w:hAnsi="Calibri"/>
          <w:i/>
          <w:color w:val="525866"/>
          <w:sz w:val="22"/>
        </w:rPr>
        <w:t xml:space="preserve">HIG Read-Through: </w:t>
      </w:r>
      <w:r>
        <w:rPr>
          <w:rFonts w:ascii="Calibri" w:hAnsi="Calibri"/>
          <w:i/>
          <w:color w:val="525866"/>
          <w:sz w:val="22"/>
        </w:rPr>
        <w:t>Positive — directly validates HIG's strategic positioning in small/middle market. HIG's #1 Keynova digital ranking and AI-first underwriting capabilities are exactly the 'higher barrier' CB describes.</w:t>
      </w:r>
    </w:p>
    <w:p>
      <w:pPr>
        <w:pStyle w:val="ListBullet"/>
        <w:ind w:left="360" w:hanging="360"/>
      </w:pPr>
      <w:r>
        <w:rPr>
          <w:rFonts w:ascii="Calibri" w:hAnsi="Calibri"/>
          <w:b/>
          <w:color w:val="525866"/>
          <w:sz w:val="22"/>
        </w:rPr>
        <w:t xml:space="preserve">Reserve Development: </w:t>
      </w:r>
      <w:r>
        <w:rPr>
          <w:rFonts w:ascii="Calibri" w:hAnsi="Calibri"/>
          <w:color w:val="525866"/>
          <w:sz w:val="22"/>
        </w:rPr>
        <w:t xml:space="preserve">Favorable PYD of $441M in active companies (89% short tail, 11% long tail). However, corporate run-off had adverse development of $158M, with over two-thirds from molestation-related claims. </w:t>
      </w:r>
      <w:r>
        <w:rPr>
          <w:rFonts w:ascii="Calibri" w:hAnsi="Calibri"/>
          <w:i/>
          <w:color w:val="525866"/>
          <w:sz w:val="22"/>
        </w:rPr>
        <w:t xml:space="preserve">HIG Read-Through: </w:t>
      </w:r>
      <w:r>
        <w:rPr>
          <w:rFonts w:ascii="Calibri" w:hAnsi="Calibri"/>
          <w:i/>
          <w:color w:val="525866"/>
          <w:sz w:val="22"/>
        </w:rPr>
        <w:t>Relevant — HIG took a $70M legacy sexual abuse/molestation reserve charge in Q1 2026. CB's continued adverse development in this area suggests the industry-wide exposure is not fully resolved, though HIG's Q1 charge may have addressed its specific exposure.</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Adjusted NII was a record $1.88B, up 11%+. Fixed income portfolio yield 5.1%; new money rate 5.5%. Private equity income was 'higher than projected.' </w:t>
      </w:r>
      <w:r>
        <w:rPr>
          <w:rFonts w:ascii="Calibri" w:hAnsi="Calibri"/>
          <w:i/>
          <w:color w:val="525866"/>
          <w:sz w:val="22"/>
        </w:rPr>
        <w:t xml:space="preserve">HIG Read-Through: </w:t>
      </w:r>
      <w:r>
        <w:rPr>
          <w:rFonts w:ascii="Calibri" w:hAnsi="Calibri"/>
          <w:i/>
          <w:color w:val="525866"/>
          <w:sz w:val="22"/>
        </w:rPr>
        <w:t>Positive — CB's strong private equity income in Q2 is a positive signal for HIG's LP returns, which management had flagged as a potential headwind due to geopolitical volatility.</w:t>
      </w:r>
    </w:p>
    <w:p>
      <w:pPr>
        <w:pStyle w:val="ListBullet"/>
        <w:ind w:left="360" w:hanging="360"/>
      </w:pPr>
      <w:r>
        <w:rPr>
          <w:rFonts w:ascii="Calibri" w:hAnsi="Calibri"/>
          <w:b/>
          <w:color w:val="525866"/>
          <w:sz w:val="22"/>
        </w:rPr>
        <w:t xml:space="preserve">Underwriting Margins: </w:t>
      </w:r>
      <w:r>
        <w:rPr>
          <w:rFonts w:ascii="Calibri" w:hAnsi="Calibri"/>
          <w:color w:val="525866"/>
          <w:sz w:val="22"/>
        </w:rPr>
        <w:t xml:space="preserve">PNC underwriting income &gt;$1.9B, up ~19%. Combined ratio 83.8% on current accident year ex-cats. CB stated combined ratios are 'sustainable' due to size, scale, and underwriting focus. </w:t>
      </w:r>
      <w:r>
        <w:rPr>
          <w:rFonts w:ascii="Calibri" w:hAnsi="Calibri"/>
          <w:i/>
          <w:color w:val="525866"/>
          <w:sz w:val="22"/>
        </w:rPr>
        <w:t xml:space="preserve">HIG Read-Through: </w:t>
      </w:r>
      <w:r>
        <w:rPr>
          <w:rFonts w:ascii="Calibri" w:hAnsi="Calibri"/>
          <w:i/>
          <w:color w:val="525866"/>
          <w:sz w:val="22"/>
        </w:rPr>
        <w:t>Positive — strong industry underwriting margins confirm the pricing cycle is still generating adequate returns, supporting HIG's Business Insurance margin outlook.</w:t>
      </w:r>
    </w:p>
    <w:p>
      <w:pPr>
        <w:pStyle w:val="Heading2"/>
      </w:pPr>
      <w:r>
        <w:rPr>
          <w:rFonts w:ascii="Calibri" w:hAnsi="Calibri"/>
          <w:b/>
          <w:color w:val="3B4259"/>
          <w:sz w:val="28"/>
        </w:rPr>
        <w:t>W.R. Berkley (WRB) — Q2 2026 Earnings Call, July 20, 2026</w:t>
      </w:r>
    </w:p>
    <w:p>
      <w:r>
        <w:rPr>
          <w:rFonts w:ascii="Calibri" w:hAnsi="Calibri"/>
          <w:b/>
          <w:color w:val="525866"/>
          <w:sz w:val="22"/>
        </w:rPr>
        <w:t xml:space="preserve">Relevance to HIG: </w:t>
      </w:r>
      <w:r>
        <w:rPr>
          <w:rFonts w:ascii="Calibri" w:hAnsi="Calibri"/>
          <w:color w:val="525866"/>
          <w:sz w:val="22"/>
        </w:rPr>
        <w:t>WRB is a specialty commercial lines insurer with significant casualty, E&amp;S, and reinsurance exposure. WRB's commentary on pricing discipline, casualty trends, and the property market is relevant to HIG's Business Insurance segment.</w:t>
      </w:r>
    </w:p>
    <w:p>
      <w:pPr>
        <w:pStyle w:val="ListBullet"/>
        <w:ind w:left="360" w:hanging="360"/>
      </w:pPr>
      <w:r>
        <w:rPr>
          <w:rFonts w:ascii="Calibri" w:hAnsi="Calibri"/>
          <w:b/>
          <w:color w:val="525866"/>
          <w:sz w:val="22"/>
        </w:rPr>
        <w:t xml:space="preserve">Commercial Pricing: </w:t>
      </w:r>
      <w:r>
        <w:rPr>
          <w:rFonts w:ascii="Calibri" w:hAnsi="Calibri"/>
          <w:color w:val="525866"/>
          <w:sz w:val="22"/>
        </w:rPr>
        <w:t xml:space="preserve">Overall rate increase ex-WC was 3.8% (pure rate per unit of exposure). WRB is 'optimizing between rate and growth' and not adjusting rates prematurely. Casualty market 'by and large offering greater discipline' with a few isolated pockets of concern (habitational, liquor — rates being cut 20-30%). Commercial auto: 'rate is up a lot and exposure is coming down pretty quickly.' </w:t>
      </w:r>
      <w:r>
        <w:rPr>
          <w:rFonts w:ascii="Calibri" w:hAnsi="Calibri"/>
          <w:i/>
          <w:color w:val="525866"/>
          <w:sz w:val="22"/>
        </w:rPr>
        <w:t xml:space="preserve">HIG Read-Through: </w:t>
      </w:r>
      <w:r>
        <w:rPr>
          <w:rFonts w:ascii="Calibri" w:hAnsi="Calibri"/>
          <w:i/>
          <w:color w:val="525866"/>
          <w:sz w:val="22"/>
        </w:rPr>
        <w:t>Broadly positive — confirms casualty pricing discipline is holding in most lines. HIG's commercial auto and GL pricing above loss trend is consistent with WRB's observations.</w:t>
      </w:r>
    </w:p>
    <w:p>
      <w:pPr>
        <w:pStyle w:val="ListBullet"/>
        <w:ind w:left="360" w:hanging="360"/>
      </w:pPr>
      <w:r>
        <w:rPr>
          <w:rFonts w:ascii="Calibri" w:hAnsi="Calibri"/>
          <w:b/>
          <w:color w:val="525866"/>
          <w:sz w:val="22"/>
        </w:rPr>
        <w:t xml:space="preserve">Property Market Warning: </w:t>
      </w:r>
      <w:r>
        <w:rPr>
          <w:rFonts w:ascii="Calibri" w:hAnsi="Calibri"/>
          <w:color w:val="525866"/>
          <w:sz w:val="22"/>
        </w:rPr>
        <w:t xml:space="preserve">WRB CEO stated 'the greatest stupidity can be found most easily in the property arena. Shared and layered is particularly concerning.' He believes 'Mother Nature is lulling the property market into a false sense of comfort' and 'it is going to get tougher before it gets easier.' </w:t>
      </w:r>
      <w:r>
        <w:rPr>
          <w:rFonts w:ascii="Calibri" w:hAnsi="Calibri"/>
          <w:i/>
          <w:color w:val="525866"/>
          <w:sz w:val="22"/>
        </w:rPr>
        <w:t xml:space="preserve">HIG Read-Through: </w:t>
      </w:r>
      <w:r>
        <w:rPr>
          <w:rFonts w:ascii="Calibri" w:hAnsi="Calibri"/>
          <w:i/>
          <w:color w:val="525866"/>
          <w:sz w:val="22"/>
        </w:rPr>
        <w:t>Relevant risk flag — HIG's property book is concentrated in small/middle market (which is holding up better), but the broader property market deterioration is a medium-term concern.</w:t>
      </w:r>
    </w:p>
    <w:p>
      <w:pPr>
        <w:pStyle w:val="ListBullet"/>
        <w:ind w:left="360" w:hanging="360"/>
      </w:pPr>
      <w:r>
        <w:rPr>
          <w:rFonts w:ascii="Calibri" w:hAnsi="Calibri"/>
          <w:b/>
          <w:color w:val="525866"/>
          <w:sz w:val="22"/>
        </w:rPr>
        <w:t xml:space="preserve">AI and Technology Investment: </w:t>
      </w:r>
      <w:r>
        <w:rPr>
          <w:rFonts w:ascii="Calibri" w:hAnsi="Calibri"/>
          <w:color w:val="525866"/>
          <w:sz w:val="22"/>
        </w:rPr>
        <w:t xml:space="preserve">WRB is seeing '20%+ uplift in efficiency' from AI-powered underwriting workbenches and is using AI in claims for straight-through processing. </w:t>
      </w:r>
      <w:r>
        <w:rPr>
          <w:rFonts w:ascii="Calibri" w:hAnsi="Calibri"/>
          <w:i/>
          <w:color w:val="525866"/>
          <w:sz w:val="22"/>
        </w:rPr>
        <w:t xml:space="preserve">HIG Read-Through: </w:t>
      </w:r>
      <w:r>
        <w:rPr>
          <w:rFonts w:ascii="Calibri" w:hAnsi="Calibri"/>
          <w:i/>
          <w:color w:val="525866"/>
          <w:sz w:val="22"/>
        </w:rPr>
        <w:t>Validates HIG's AI-first strategy — the efficiency gains WRB is seeing are consistent with HIG's own AI investment thesis.</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Record quarterly NII of $419M, with core portfolio income up 13% YoY. Domestic book yield 4.8% vs. new money rate 'comfortably starting with a 5' — suggesting 'a lot of upside from here.' </w:t>
      </w:r>
      <w:r>
        <w:rPr>
          <w:rFonts w:ascii="Calibri" w:hAnsi="Calibri"/>
          <w:i/>
          <w:color w:val="525866"/>
          <w:sz w:val="22"/>
        </w:rPr>
        <w:t xml:space="preserve">HIG Read-Through: </w:t>
      </w:r>
      <w:r>
        <w:rPr>
          <w:rFonts w:ascii="Calibri" w:hAnsi="Calibri"/>
          <w:i/>
          <w:color w:val="525866"/>
          <w:sz w:val="22"/>
        </w:rPr>
        <w:t>Positive — confirms the NII tailwind from reinvestment at higher rates is intact across the industry.</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Cat losses decreased $37M to $62M in Q2 2026 (2.0 loss ratio points vs. 3.2 in prior year). WRB described Q2 as 'a relatively benign cat quarter given the time of year.' </w:t>
      </w:r>
      <w:r>
        <w:rPr>
          <w:rFonts w:ascii="Calibri" w:hAnsi="Calibri"/>
          <w:i/>
          <w:color w:val="525866"/>
          <w:sz w:val="22"/>
        </w:rPr>
        <w:t xml:space="preserve">HIG Read-Through: </w:t>
      </w:r>
      <w:r>
        <w:rPr>
          <w:rFonts w:ascii="Calibri" w:hAnsi="Calibri"/>
          <w:i/>
          <w:color w:val="525866"/>
          <w:sz w:val="22"/>
        </w:rPr>
        <w:t>Moderately positive — WRB's low cat losses suggest the quarter was manageable for specialty/E&amp;S writers. However, WRB's cat exposure profile differs from HIG's, so this is not a direct read-through.</w:t>
      </w:r>
    </w:p>
    <w:p>
      <w:pPr>
        <w:pStyle w:val="Heading2"/>
      </w:pPr>
      <w:r>
        <w:rPr>
          <w:rFonts w:ascii="Calibri" w:hAnsi="Calibri"/>
          <w:b/>
          <w:color w:val="3B4259"/>
          <w:sz w:val="28"/>
        </w:rPr>
        <w:t>Progressive Corporation (PGR) — Q2 2026 Earnings Release, July 15, 2026</w:t>
      </w:r>
    </w:p>
    <w:p>
      <w:r>
        <w:rPr>
          <w:rFonts w:ascii="Calibri" w:hAnsi="Calibri"/>
          <w:b/>
          <w:color w:val="525866"/>
          <w:sz w:val="22"/>
        </w:rPr>
        <w:t xml:space="preserve">Relevance to HIG: </w:t>
      </w:r>
      <w:r>
        <w:rPr>
          <w:rFonts w:ascii="Calibri" w:hAnsi="Calibri"/>
          <w:color w:val="525866"/>
          <w:sz w:val="22"/>
        </w:rPr>
        <w:t>PGR is the largest personal auto insurer in the U.S. and a key read-through for HIG's Personal Lines segment, particularly auto. PGR's pricing and growth trends directly inform the competitive environment HIG faces in its Prevail platform rollout.</w:t>
      </w:r>
    </w:p>
    <w:p>
      <w:pPr>
        <w:pStyle w:val="ListBullet"/>
        <w:ind w:left="360" w:hanging="360"/>
      </w:pPr>
      <w:r>
        <w:rPr>
          <w:rFonts w:ascii="Calibri" w:hAnsi="Calibri"/>
          <w:b/>
          <w:color w:val="525866"/>
          <w:sz w:val="22"/>
        </w:rPr>
        <w:t xml:space="preserve">Personal Auto Growth: </w:t>
      </w:r>
      <w:r>
        <w:rPr>
          <w:rFonts w:ascii="Calibri" w:hAnsi="Calibri"/>
          <w:color w:val="525866"/>
          <w:sz w:val="22"/>
        </w:rPr>
        <w:t xml:space="preserve">Total personal lines policies in force up 8% YoY (direct auto up 10%, agency auto up 8%). Net premiums written up 3% YoY. Q2 combined ratio was 90.0% (up 3.4 pts YoY), though this included an 11.7-pt favorable one-time actuarial methodology change for property IBNR. </w:t>
      </w:r>
      <w:r>
        <w:rPr>
          <w:rFonts w:ascii="Calibri" w:hAnsi="Calibri"/>
          <w:i/>
          <w:color w:val="525866"/>
          <w:sz w:val="22"/>
        </w:rPr>
        <w:t xml:space="preserve">HIG Read-Through: </w:t>
      </w:r>
      <w:r>
        <w:rPr>
          <w:rFonts w:ascii="Calibri" w:hAnsi="Calibri"/>
          <w:i/>
          <w:color w:val="525866"/>
          <w:sz w:val="22"/>
        </w:rPr>
        <w:t>Mixed — PGR's strong policy growth confirms the personal auto market is competitive and growing, which is the environment HIG is navigating with its Prevail rollout. The underlying combined ratio (ex the one-time item) was elevated, suggesting the industry is not yet at peak profitability.</w:t>
      </w:r>
    </w:p>
    <w:p>
      <w:pPr>
        <w:pStyle w:val="ListBullet"/>
        <w:ind w:left="360" w:hanging="360"/>
      </w:pPr>
      <w:r>
        <w:rPr>
          <w:rFonts w:ascii="Calibri" w:hAnsi="Calibri"/>
          <w:b/>
          <w:color w:val="525866"/>
          <w:sz w:val="22"/>
        </w:rPr>
        <w:t xml:space="preserve">Pricing Moderation: </w:t>
      </w:r>
      <w:r>
        <w:rPr>
          <w:rFonts w:ascii="Calibri" w:hAnsi="Calibri"/>
          <w:color w:val="525866"/>
          <w:sz w:val="22"/>
        </w:rPr>
        <w:t xml:space="preserve">PGR's growth acceleration (policies up 8% vs. 15% in prior year) and the flat-to-declining renewal pricing environment confirm HIG's Q1 commentary that 'competitors are aggressively positioning renewal rate decreases, increasing marketing spend, and introducing new business discounts.' </w:t>
      </w:r>
      <w:r>
        <w:rPr>
          <w:rFonts w:ascii="Calibri" w:hAnsi="Calibri"/>
          <w:i/>
          <w:color w:val="525866"/>
          <w:sz w:val="22"/>
        </w:rPr>
        <w:t xml:space="preserve">HIG Read-Through: </w:t>
      </w:r>
      <w:r>
        <w:rPr>
          <w:rFonts w:ascii="Calibri" w:hAnsi="Calibri"/>
          <w:i/>
          <w:color w:val="525866"/>
          <w:sz w:val="22"/>
        </w:rPr>
        <w:t>Confirms HIG's Personal Lines written premium headwind will likely persist in Q2 — the -10% auto written premium decline seen in Q1 may continue.</w:t>
      </w:r>
    </w:p>
    <w:p>
      <w:pPr>
        <w:pStyle w:val="ListBullet"/>
        <w:ind w:left="360" w:hanging="360"/>
      </w:pPr>
      <w:r>
        <w:rPr>
          <w:rFonts w:ascii="Calibri" w:hAnsi="Calibri"/>
          <w:b/>
          <w:color w:val="525866"/>
          <w:sz w:val="22"/>
        </w:rPr>
        <w:t xml:space="preserve">Capital Allocation: </w:t>
      </w:r>
      <w:r>
        <w:rPr>
          <w:rFonts w:ascii="Calibri" w:hAnsi="Calibri"/>
          <w:color w:val="525866"/>
          <w:sz w:val="22"/>
        </w:rPr>
        <w:t xml:space="preserve">PGR repurchased 845,952 shares in June at $201.16/share. The company faces a 'nice-to-have problem' of what to do with $13B in excess capital, with analysts expecting $6.6B in dividends and $2.3B in buybacks. </w:t>
      </w:r>
      <w:r>
        <w:rPr>
          <w:rFonts w:ascii="Calibri" w:hAnsi="Calibri"/>
          <w:i/>
          <w:color w:val="525866"/>
          <w:sz w:val="22"/>
        </w:rPr>
        <w:t xml:space="preserve">HIG Read-Through: </w:t>
      </w:r>
      <w:r>
        <w:rPr>
          <w:rFonts w:ascii="Calibri" w:hAnsi="Calibri"/>
          <w:i/>
          <w:color w:val="525866"/>
          <w:sz w:val="22"/>
        </w:rPr>
        <w:t>Indirect positive — PGR's capital return signals confidence in the personal lines profitability outlook, which is consistent with HIG's own capital return trajectory ($450M/quarter buybacks).</w:t>
      </w:r>
    </w:p>
    <w:p>
      <w:pPr>
        <w:pStyle w:val="Heading2"/>
      </w:pPr>
      <w:r>
        <w:rPr>
          <w:rFonts w:ascii="Calibri" w:hAnsi="Calibri"/>
          <w:b/>
          <w:color w:val="3B4259"/>
          <w:sz w:val="28"/>
        </w:rPr>
        <w:t>Allstate Corporation (ALL) — June 2026 Catastrophe Loss Disclosure, July 16, 2026</w:t>
      </w:r>
    </w:p>
    <w:p>
      <w:r>
        <w:rPr>
          <w:rFonts w:ascii="Calibri" w:hAnsi="Calibri"/>
          <w:b/>
          <w:color w:val="525866"/>
          <w:sz w:val="22"/>
        </w:rPr>
        <w:t xml:space="preserve">Relevance to HIG: </w:t>
      </w:r>
      <w:r>
        <w:rPr>
          <w:rFonts w:ascii="Calibri" w:hAnsi="Calibri"/>
          <w:color w:val="525866"/>
          <w:sz w:val="22"/>
        </w:rPr>
        <w:t>ALL is a major personal lines insurer with significant property exposure. ALL's monthly catastrophe disclosures provide real-time data on industry cat activity.</w:t>
      </w:r>
    </w:p>
    <w:p>
      <w:pPr>
        <w:pStyle w:val="ListBullet"/>
        <w:ind w:left="360" w:hanging="360"/>
      </w:pPr>
      <w:r>
        <w:rPr>
          <w:rFonts w:ascii="Calibri" w:hAnsi="Calibri"/>
          <w:b/>
          <w:color w:val="525866"/>
          <w:sz w:val="22"/>
        </w:rPr>
        <w:t xml:space="preserve">Q2 2026 Catastrophe Losses: </w:t>
      </w:r>
      <w:r>
        <w:rPr>
          <w:rFonts w:ascii="Calibri" w:hAnsi="Calibri"/>
          <w:color w:val="525866"/>
          <w:sz w:val="22"/>
        </w:rPr>
        <w:t xml:space="preserve">ALL disclosed Q2 2026 total catastrophe losses of $1.72B ($1.36B after-tax), with June alone at $563M ($445M after-tax). </w:t>
      </w:r>
      <w:r>
        <w:rPr>
          <w:rFonts w:ascii="Calibri" w:hAnsi="Calibri"/>
          <w:i/>
          <w:color w:val="525866"/>
          <w:sz w:val="22"/>
        </w:rPr>
        <w:t xml:space="preserve">HIG Read-Through: </w:t>
      </w:r>
      <w:r>
        <w:rPr>
          <w:rFonts w:ascii="Calibri" w:hAnsi="Calibri"/>
          <w:i/>
          <w:color w:val="525866"/>
          <w:sz w:val="22"/>
        </w:rPr>
        <w:t>Moderately negative for HIG's Personal Lines and Business Insurance cat exposure. ALL's $1.72B in Q2 cat losses (vs. HIG's aggregate treaty threshold of $750M for the full year) suggests Q2 was an elevated cat quarter. HIG was at $204M of the $750M threshold through Q1, so Q2 cat activity will be closely watched. However, HIG's reinsurance program and small/middle market concentration may limit the impact.</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identified in the post-Q1 period. The two transactions found were routine — a tax withholding disposition and a 10b5-1 planned sale executed under a pre-established trading plan. There is no insider signal that stands out as unusual or directionally meaningful.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Adin M. Tooker</w:t>
            </w:r>
          </w:p>
        </w:tc>
        <w:tc>
          <w:tcPr>
            <w:tcW w:type="dxa" w:w="1440"/>
          </w:tcPr>
          <w:p>
            <w:r>
              <w:rPr>
                <w:rFonts w:ascii="Calibri" w:hAnsi="Calibri"/>
                <w:sz w:val="22"/>
              </w:rPr>
              <w:t>President</w:t>
            </w:r>
          </w:p>
        </w:tc>
        <w:tc>
          <w:tcPr>
            <w:tcW w:type="dxa" w:w="1440"/>
          </w:tcPr>
          <w:p>
            <w:r>
              <w:rPr>
                <w:rFonts w:ascii="Calibri" w:hAnsi="Calibri"/>
                <w:sz w:val="22"/>
              </w:rPr>
              <w:t>10b5-1 Planned Sale (S code)</w:t>
            </w:r>
          </w:p>
        </w:tc>
        <w:tc>
          <w:tcPr>
            <w:tcW w:type="dxa" w:w="1440"/>
          </w:tcPr>
          <w:p>
            <w:r>
              <w:rPr>
                <w:rFonts w:ascii="Calibri" w:hAnsi="Calibri"/>
                <w:sz w:val="22"/>
              </w:rPr>
              <w:t>~$1.20M (8,895 shares @ $135.13)</w:t>
            </w:r>
          </w:p>
        </w:tc>
        <w:tc>
          <w:tcPr>
            <w:tcW w:type="dxa" w:w="1440"/>
          </w:tcPr>
          <w:p>
            <w:r>
              <w:rPr>
                <w:rFonts w:ascii="Calibri" w:hAnsi="Calibri"/>
                <w:sz w:val="22"/>
              </w:rPr>
              <w:t>May 27, 2026</w:t>
            </w:r>
          </w:p>
        </w:tc>
        <w:tc>
          <w:tcPr>
            <w:tcW w:type="dxa" w:w="1440"/>
          </w:tcPr>
          <w:p>
            <w:r>
              <w:rPr>
                <w:rFonts w:ascii="Calibri" w:hAnsi="Calibri"/>
                <w:sz w:val="22"/>
              </w:rPr>
              <w:t>Pre-planned sale under 10b5-1 plan adopted August 25, 2025; simultaneous exercise of stock options at $49.01 (M code). Routine planned transaction, not discretionary.</w:t>
            </w:r>
          </w:p>
        </w:tc>
      </w:tr>
      <w:tr>
        <w:tc>
          <w:tcPr>
            <w:tcW w:type="dxa" w:w="1440"/>
          </w:tcPr>
          <w:p>
            <w:r>
              <w:rPr>
                <w:rFonts w:ascii="Calibri" w:hAnsi="Calibri"/>
                <w:sz w:val="22"/>
              </w:rPr>
              <w:t>Shekar Pannala</w:t>
            </w:r>
          </w:p>
        </w:tc>
        <w:tc>
          <w:tcPr>
            <w:tcW w:type="dxa" w:w="1440"/>
          </w:tcPr>
          <w:p>
            <w:r>
              <w:rPr>
                <w:rFonts w:ascii="Calibri" w:hAnsi="Calibri"/>
                <w:sz w:val="22"/>
              </w:rPr>
              <w:t>EVP &amp; Chief Information Officer</w:t>
            </w:r>
          </w:p>
        </w:tc>
        <w:tc>
          <w:tcPr>
            <w:tcW w:type="dxa" w:w="1440"/>
          </w:tcPr>
          <w:p>
            <w:r>
              <w:rPr>
                <w:rFonts w:ascii="Calibri" w:hAnsi="Calibri"/>
                <w:sz w:val="22"/>
              </w:rPr>
              <w:t>Tax Withholding Disposition (F code)</w:t>
            </w:r>
          </w:p>
        </w:tc>
        <w:tc>
          <w:tcPr>
            <w:tcW w:type="dxa" w:w="1440"/>
          </w:tcPr>
          <w:p>
            <w:r>
              <w:rPr>
                <w:rFonts w:ascii="Calibri" w:hAnsi="Calibri"/>
                <w:sz w:val="22"/>
              </w:rPr>
              <w:t>~$961K (7,074 shares @ $135.81)</w:t>
            </w:r>
          </w:p>
        </w:tc>
        <w:tc>
          <w:tcPr>
            <w:tcW w:type="dxa" w:w="1440"/>
          </w:tcPr>
          <w:p>
            <w:r>
              <w:rPr>
                <w:rFonts w:ascii="Calibri" w:hAnsi="Calibri"/>
                <w:sz w:val="22"/>
              </w:rPr>
              <w:t>May 4, 2026</w:t>
            </w:r>
          </w:p>
        </w:tc>
        <w:tc>
          <w:tcPr>
            <w:tcW w:type="dxa" w:w="1440"/>
          </w:tcPr>
          <w:p>
            <w:r>
              <w:rPr>
                <w:rFonts w:ascii="Calibri" w:hAnsi="Calibri"/>
                <w:sz w:val="22"/>
              </w:rPr>
              <w:t>Disposition to company to satisfy tax withholding on RSU vesting. Not an open-market sale; obligation-driven.</w:t>
            </w:r>
          </w:p>
        </w:tc>
      </w:tr>
    </w:tbl>
    <w:p>
      <w:r>
        <w:rPr>
          <w:rFonts w:ascii="Calibri" w:hAnsi="Calibri"/>
          <w:color w:val="525866"/>
          <w:sz w:val="22"/>
        </w:rPr>
        <w:t>No open-market purchases (Form 4 code P) or discretionary open-market sales (Form 4 code S without a 10b5-1 plan) were identified for HIG insiders in the period from April 23, 2026 (Q1 earnings date) through July 22, 2026. The two transactions identified are both routine and obligation-driven. The absence of open-market buying is not unusual given the stock's proximity to all-time highs and the typical blackout period ahead of earnings. No 10b5-1 plan initiations were identified in this period.</w:t>
      </w:r>
    </w:p>
    <w:p>
      <w:r>
        <w:rPr>
          <w:rFonts w:ascii="Calibri" w:hAnsi="Calibri"/>
          <w:i/>
          <w:color w:val="525866"/>
          <w:sz w:val="22"/>
        </w:rPr>
        <w:t>Sources: SEC Form 4 filings (EDGAR). Form 144 filings not identified for HIG in this period.</w:t>
      </w:r>
    </w:p>
    <w:p>
      <w:r>
        <w:br w:type="page"/>
      </w:r>
    </w:p>
    <w:p>
      <w:pPr>
        <w:pStyle w:val="Heading1"/>
        <w:pBdr>
          <w:bottom w:val="single" w:sz="4" w:space="1" w:color="FB9120"/>
        </w:pBdr>
      </w:pPr>
      <w:r>
        <w:rPr>
          <w:rFonts w:ascii="Calibri" w:hAnsi="Calibri"/>
          <w:b/>
          <w:color w:val="3B4259"/>
          <w:sz w:val="40"/>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(EPS, Written Premium, Underlying Combined Ratio, Net Investment Income, Group Benefits Core Earnings). Source: https://insights.visiblealpha.com/mex/HIG_US/NMV/IS and related endpoints.</w:t>
      </w:r>
    </w:p>
    <w:p>
      <w:pPr>
        <w:pStyle w:val="ListBullet"/>
        <w:ind w:left="360" w:hanging="360"/>
      </w:pPr>
      <w:r>
        <w:rPr>
          <w:rFonts w:ascii="Calibri" w:hAnsi="Calibri"/>
          <w:b/>
          <w:color w:val="525866"/>
          <w:sz w:val="22"/>
        </w:rPr>
        <w:t>Stock Price Data</w:t>
      </w:r>
      <w:r>
        <w:rPr>
          <w:rFonts w:ascii="Calibri" w:hAnsi="Calibri"/>
          <w:color w:val="525866"/>
          <w:sz w:val="22"/>
        </w:rPr>
        <w:t xml:space="preserve"> — HIG, KIE, SPY daily closing prices from April 23 – July 23, 2026. Source: Yahoo Finance.</w:t>
      </w:r>
    </w:p>
    <w:p>
      <w:pPr>
        <w:pStyle w:val="ListBullet"/>
        <w:ind w:left="360" w:hanging="360"/>
      </w:pPr>
      <w:r>
        <w:rPr>
          <w:rFonts w:ascii="Calibri" w:hAnsi="Calibri"/>
          <w:b/>
          <w:color w:val="525866"/>
          <w:sz w:val="22"/>
        </w:rPr>
        <w:t>HIG Q1 2026 Earnings Call Transcript</w:t>
      </w:r>
      <w:r>
        <w:rPr>
          <w:rFonts w:ascii="Calibri" w:hAnsi="Calibri"/>
          <w:color w:val="525866"/>
          <w:sz w:val="22"/>
        </w:rPr>
        <w:t xml:space="preserve"> — April 24, 2026. Source: documents/HIG/transcript/earnings/2026Q1/raw_document.txt.</w:t>
      </w:r>
    </w:p>
    <w:p>
      <w:pPr>
        <w:pStyle w:val="ListBullet"/>
        <w:ind w:left="360" w:hanging="360"/>
      </w:pPr>
      <w:r>
        <w:rPr>
          <w:rFonts w:ascii="Calibri" w:hAnsi="Calibri"/>
          <w:b/>
          <w:color w:val="525866"/>
          <w:sz w:val="22"/>
        </w:rPr>
        <w:t>HIG Q1 2026 Earnings Release</w:t>
      </w:r>
      <w:r>
        <w:rPr>
          <w:rFonts w:ascii="Calibri" w:hAnsi="Calibri"/>
          <w:color w:val="525866"/>
          <w:sz w:val="22"/>
        </w:rPr>
        <w:t xml:space="preserve"> — April 23, 2026. Source: documents/HIG/Earnings Release/2026Q1/raw_document.pdf.</w:t>
      </w:r>
    </w:p>
    <w:p>
      <w:pPr>
        <w:pStyle w:val="ListBullet"/>
        <w:ind w:left="360" w:hanging="360"/>
      </w:pPr>
      <w:r>
        <w:rPr>
          <w:rFonts w:ascii="Calibri" w:hAnsi="Calibri"/>
          <w:b/>
          <w:color w:val="525866"/>
          <w:sz w:val="22"/>
        </w:rPr>
        <w:t>HIG Board Appointment 8-K</w:t>
      </w:r>
      <w:r>
        <w:rPr>
          <w:rFonts w:ascii="Calibri" w:hAnsi="Calibri"/>
          <w:color w:val="525866"/>
          <w:sz w:val="22"/>
        </w:rPr>
        <w:t xml:space="preserve"> — July 15, 2026 (Randy Larsen appointment). Source: documents/HIG/8K/000087476626000050.</w:t>
      </w:r>
    </w:p>
    <w:p>
      <w:pPr>
        <w:pStyle w:val="ListBullet"/>
        <w:ind w:left="360" w:hanging="360"/>
      </w:pPr>
      <w:r>
        <w:rPr>
          <w:rFonts w:ascii="Calibri" w:hAnsi="Calibri"/>
          <w:b/>
          <w:color w:val="525866"/>
          <w:sz w:val="22"/>
        </w:rPr>
        <w:t>TRV Q2 2026 Earnings Call Transcript</w:t>
      </w:r>
      <w:r>
        <w:rPr>
          <w:rFonts w:ascii="Calibri" w:hAnsi="Calibri"/>
          <w:color w:val="525866"/>
          <w:sz w:val="22"/>
        </w:rPr>
        <w:t xml:space="preserve"> — July 17, 2026. Source: documents/TRV/transcript/earnings/2026Q2/raw_document.txt.</w:t>
      </w:r>
    </w:p>
    <w:p>
      <w:pPr>
        <w:pStyle w:val="ListBullet"/>
        <w:ind w:left="360" w:hanging="360"/>
      </w:pPr>
      <w:r>
        <w:rPr>
          <w:rFonts w:ascii="Calibri" w:hAnsi="Calibri"/>
          <w:b/>
          <w:color w:val="525866"/>
          <w:sz w:val="22"/>
        </w:rPr>
        <w:t>CB Q2 2026 Earnings Call Transcript</w:t>
      </w:r>
      <w:r>
        <w:rPr>
          <w:rFonts w:ascii="Calibri" w:hAnsi="Calibri"/>
          <w:color w:val="525866"/>
          <w:sz w:val="22"/>
        </w:rPr>
        <w:t xml:space="preserve"> — July 22, 2026. Source: documents/CB/transcript/earnings/2026Q2/raw_document.txt.</w:t>
      </w:r>
    </w:p>
    <w:p>
      <w:pPr>
        <w:pStyle w:val="ListBullet"/>
        <w:ind w:left="360" w:hanging="360"/>
      </w:pPr>
      <w:r>
        <w:rPr>
          <w:rFonts w:ascii="Calibri" w:hAnsi="Calibri"/>
          <w:b/>
          <w:color w:val="525866"/>
          <w:sz w:val="22"/>
        </w:rPr>
        <w:t>WRB Q2 2026 Earnings Call Transcript</w:t>
      </w:r>
      <w:r>
        <w:rPr>
          <w:rFonts w:ascii="Calibri" w:hAnsi="Calibri"/>
          <w:color w:val="525866"/>
          <w:sz w:val="22"/>
        </w:rPr>
        <w:t xml:space="preserve"> — July 20, 2026. Source: documents/WRB/transcript/earnings/2026Q2/raw_document.txt.</w:t>
      </w:r>
    </w:p>
    <w:p>
      <w:pPr>
        <w:pStyle w:val="ListBullet"/>
        <w:ind w:left="360" w:hanging="360"/>
      </w:pPr>
      <w:r>
        <w:rPr>
          <w:rFonts w:ascii="Calibri" w:hAnsi="Calibri"/>
          <w:b/>
          <w:color w:val="525866"/>
          <w:sz w:val="22"/>
        </w:rPr>
        <w:t>PGR Q2 2026 Earnings Release</w:t>
      </w:r>
      <w:r>
        <w:rPr>
          <w:rFonts w:ascii="Calibri" w:hAnsi="Calibri"/>
          <w:color w:val="525866"/>
          <w:sz w:val="22"/>
        </w:rPr>
        <w:t xml:space="preserve"> — July 15, 2026. Source: documents/PGR/Earnings Release/2026Q2/raw_document_text.pdf.</w:t>
      </w:r>
    </w:p>
    <w:p>
      <w:pPr>
        <w:pStyle w:val="ListBullet"/>
        <w:ind w:left="360" w:hanging="360"/>
      </w:pPr>
      <w:r>
        <w:rPr>
          <w:rFonts w:ascii="Calibri" w:hAnsi="Calibri"/>
          <w:b/>
          <w:color w:val="525866"/>
          <w:sz w:val="22"/>
        </w:rPr>
        <w:t>ALL Q2 2026 Catastrophe Loss Disclosure</w:t>
      </w:r>
      <w:r>
        <w:rPr>
          <w:rFonts w:ascii="Calibri" w:hAnsi="Calibri"/>
          <w:color w:val="525866"/>
          <w:sz w:val="22"/>
        </w:rPr>
        <w:t xml:space="preserve"> — July 16, 2026. Source: documents/ALL/Earnings Release/2026Q2/raw_document_text.pdf.</w:t>
      </w:r>
    </w:p>
    <w:p>
      <w:pPr>
        <w:pStyle w:val="ListBullet"/>
        <w:ind w:left="360" w:hanging="360"/>
      </w:pPr>
      <w:r>
        <w:rPr>
          <w:rFonts w:ascii="Calibri" w:hAnsi="Calibri"/>
          <w:b/>
          <w:color w:val="525866"/>
          <w:sz w:val="22"/>
        </w:rPr>
        <w:t>SEC Form 4 Filings (HIG Insiders)</w:t>
      </w:r>
      <w:r>
        <w:rPr>
          <w:rFonts w:ascii="Calibri" w:hAnsi="Calibri"/>
          <w:color w:val="525866"/>
          <w:sz w:val="22"/>
        </w:rPr>
        <w:t xml:space="preserve"> — Adin M. Tooker (May 27, 2026) and Shekar Pannala (May 4, 2026). Source: SEC EDGAR.</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