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HON before writing the preview. Let me gather recent earnings, filings, guidance, and news in parallel.Honeywell is mid-breakup — important context. Let me read the Q1 2026 earnings release, the Q1 call, and the June 2026 Investor Day, plus recent news.I have strong Q1 context. Key fact: the Aerospace spin-off (HONA) was slated for June 29, 2026 — so this Q2 report is a pivotal one. Let me pull the June 11 Investor Day (automation RemainCo targets), recent July news around the spin completion, and the stock price.I now have rich detail. Let me get the most recent couple days of news and the macro/industrials backdrop to round out the preview.I have everything I need. Here's the preview.</w:t>
      </w:r>
    </w:p>
    <w:p>
      <w:r>
        <w:pict>
          <v:rect style="width:0;height:1.5pt" o:hralign="center" o:hrstd="t" o:hr="t"/>
        </w:pict>
      </w:r>
    </w:p>
    <w:bookmarkStart w:id="15" w:name="honeywell-hon--q2-2026-earnings-preview"/>
    <w:p>
      <w:pPr>
        <w:pStyle w:val="Heading1"/>
      </w:pPr>
      <w:r>
        <w:t xml:space="preserve">Honeywell (HON) — Q2 2026 Earnings Preview</w:t>
      </w:r>
    </w:p>
    <w:bookmarkStart w:id="9" w:name="X351fcf6b4999904c001e63d2f34b8bcd87e2474"/>
    <w:p>
      <w:pPr>
        <w:pStyle w:val="Heading3"/>
      </w:pPr>
      <w:r>
        <w:t xml:space="preserve">Reports before the open, Thursday, July 23, 2026 · 2026Q2 Earnings Call</w:t>
      </w:r>
    </w:p>
    <w:bookmarkEnd w:id="9"/>
    <w:bookmarkStart w:id="10" w:name="X697e09de801b6829ed556ab56b07a85cc26b6bc"/>
    <w:p>
      <w:pPr>
        <w:pStyle w:val="Heading2"/>
      </w:pPr>
      <w:r>
        <w:t xml:space="preserve">The one thing that matters: this is a brand-new company</w:t>
      </w:r>
    </w:p>
    <w:p>
      <w:pPr>
        <w:pStyle w:val="FirstParagraph"/>
      </w:pPr>
      <w:r>
        <w:t xml:space="preserve">This is</w:t>
      </w:r>
      <w:r>
        <w:t xml:space="preserve"> </w:t>
      </w:r>
      <w:r>
        <w:rPr>
          <w:b/>
          <w:bCs/>
        </w:rPr>
        <w:t xml:space="preserve">the first earnings report of "new" Honeywell</w:t>
      </w:r>
      <w:r>
        <w:t xml:space="preserve"> </w:t>
      </w:r>
      <w:r>
        <w:t xml:space="preserve">— a pure-play automation company. The breakup that activist Elliott Management pushed for is now complete. On</w:t>
      </w:r>
      <w:r>
        <w:t xml:space="preserve"> </w:t>
      </w:r>
      <w:r>
        <w:rPr>
          <w:b/>
          <w:bCs/>
        </w:rPr>
        <w:t xml:space="preserve">June 29, 2026, Honeywell spun off its Aerospace business as a separate public company (Nasdaq: HONA)</w:t>
      </w:r>
      <w:r>
        <w:t xml:space="preserve"> </w:t>
      </w:r>
      <w:r>
        <w:t xml:space="preserve">and simultaneously executed a</w:t>
      </w:r>
      <w:r>
        <w:t xml:space="preserve"> </w:t>
      </w:r>
      <w:r>
        <w:rPr>
          <w:b/>
          <w:bCs/>
        </w:rPr>
        <w:t xml:space="preserve">1-for-2 reverse stock split</w:t>
      </w:r>
      <w:r>
        <w:t xml:space="preserve">. That followed the October 2025 spin of Solstice Advanced Materials (refrigerants/specialty chemicals). What remains under the HON ticker — branded</w:t>
      </w:r>
      <w:r>
        <w:t xml:space="preserve"> </w:t>
      </w:r>
      <w:r>
        <w:rPr>
          <w:b/>
          <w:bCs/>
        </w:rPr>
        <w:t xml:space="preserve">Honeywell Technologies</w:t>
      </w:r>
      <w:r>
        <w:t xml:space="preserve"> </w:t>
      </w:r>
      <w:r>
        <w:t xml:space="preserve">— is three automation segments:</w:t>
      </w:r>
      <w:r>
        <w:t xml:space="preserve"> </w:t>
      </w:r>
      <w:r>
        <w:rPr>
          <w:b/>
          <w:bCs/>
        </w:rPr>
        <w:t xml:space="preserve">Building Automation, Industrial Automation, and Process Automation &amp; Technology</w:t>
      </w:r>
      <w:r>
        <w:t xml:space="preserve">.</w:t>
      </w:r>
    </w:p>
    <w:p>
      <w:pPr>
        <w:pStyle w:val="BodyText"/>
      </w:pPr>
      <w:r>
        <w:t xml:space="preserve">Practically, this means the Q2 print will look very different from prior quarters:</w:t>
      </w:r>
    </w:p>
    <w:p>
      <w:pPr>
        <w:pStyle w:val="Compact"/>
        <w:numPr>
          <w:ilvl w:val="0"/>
          <w:numId w:val="1001"/>
        </w:numPr>
      </w:pPr>
      <w:r>
        <w:rPr>
          <w:b/>
          <w:bCs/>
        </w:rPr>
        <w:t xml:space="preserve">Aerospace will be reported as discontinued operations</w:t>
      </w:r>
      <w:r>
        <w:t xml:space="preserve">, so continuing-ops results are the automation-only company (~</w:t>
      </w:r>
      <m:oMath>
        <m:r>
          <m:t>17</m:t>
        </m:r>
        <m:r>
          <m:t>B</m:t>
        </m:r>
        <m:r>
          <m:t>o</m:t>
        </m:r>
        <m:r>
          <m:t>f</m:t>
        </m:r>
        <m:r>
          <m:t>2025</m:t>
        </m:r>
        <m:r>
          <m:t>r</m:t>
        </m:r>
        <m:r>
          <m:t>e</m:t>
        </m:r>
        <m:r>
          <m:t>v</m:t>
        </m:r>
        <m:r>
          <m:t>e</m:t>
        </m:r>
        <m:r>
          <m:t>n</m:t>
        </m:r>
        <m:r>
          <m:t>u</m:t>
        </m:r>
        <m:r>
          <m:t>e</m:t>
        </m:r>
        <m:r>
          <m:t>v</m:t>
        </m:r>
        <m:r>
          <m:t>s</m:t>
        </m:r>
        <m:r>
          <m:rPr>
            <m:sty m:val="p"/>
          </m:rPr>
          <m:t>.</m:t>
        </m:r>
        <m:r>
          <m:t>t</m:t>
        </m:r>
        <m:r>
          <m:t>h</m:t>
        </m:r>
        <m:r>
          <m:t>e</m:t>
        </m:r>
        <m:r>
          <m:t>o</m:t>
        </m:r>
        <m:r>
          <m:t>l</m:t>
        </m:r>
        <m:r>
          <m:t>d</m:t>
        </m:r>
        <m:r>
          <m:t> </m:t>
        </m:r>
      </m:oMath>
      <w:r>
        <w:t xml:space="preserve">38B conglomerate).</w:t>
      </w:r>
    </w:p>
    <w:p>
      <w:pPr>
        <w:pStyle w:val="Compact"/>
        <w:numPr>
          <w:ilvl w:val="0"/>
          <w:numId w:val="1001"/>
        </w:numPr>
      </w:pPr>
      <w:r>
        <w:rPr>
          <w:b/>
          <w:bCs/>
        </w:rPr>
        <w:t xml:space="preserve">All per-share figures reflect the 1-for-2 reverse split.</w:t>
      </w:r>
    </w:p>
    <w:p>
      <w:pPr>
        <w:pStyle w:val="Compact"/>
        <w:numPr>
          <w:ilvl w:val="0"/>
          <w:numId w:val="1001"/>
        </w:numPr>
      </w:pPr>
      <w:r>
        <w:rPr>
          <w:b/>
          <w:bCs/>
        </w:rPr>
        <w:t xml:space="preserve">Quantinuum (quantum computing) was deconsolidated</w:t>
      </w:r>
      <w:r>
        <w:t xml:space="preserve"> </w:t>
      </w:r>
      <w:r>
        <w:t xml:space="preserve">after its IPO and will sit on the balance sheet as an investment (management flagged ~$7B carrying value) — a source of future capital-allocation optionality.</w:t>
      </w:r>
    </w:p>
    <w:p>
      <w:pPr>
        <w:pStyle w:val="Compact"/>
        <w:numPr>
          <w:ilvl w:val="0"/>
          <w:numId w:val="1001"/>
        </w:numPr>
      </w:pPr>
      <w:r>
        <w:t xml:space="preserve">Two pending divestitures —</w:t>
      </w:r>
      <w:r>
        <w:t xml:space="preserve"> </w:t>
      </w:r>
      <w:r>
        <w:rPr>
          <w:b/>
          <w:bCs/>
        </w:rPr>
        <w:t xml:space="preserve">Productivity Solutions &amp; Services (to Brady Corp.)</w:t>
      </w:r>
      <w:r>
        <w:t xml:space="preserve"> </w:t>
      </w:r>
      <w:r>
        <w:t xml:space="preserve">and</w:t>
      </w:r>
      <w:r>
        <w:t xml:space="preserve"> </w:t>
      </w:r>
      <w:r>
        <w:rPr>
          <w:b/>
          <w:bCs/>
        </w:rPr>
        <w:t xml:space="preserve">Warehouse &amp; Workflow Solutions/Intelligrated (to American Industrial Partners)</w:t>
      </w:r>
      <w:r>
        <w:t xml:space="preserve"> </w:t>
      </w:r>
      <w:r>
        <w:t xml:space="preserve">— are still expected to close in 2H 2026 and remain in the numbers until then.</w:t>
      </w:r>
    </w:p>
    <w:p>
      <w:pPr>
        <w:pStyle w:val="Compact"/>
        <w:numPr>
          <w:ilvl w:val="0"/>
          <w:numId w:val="1001"/>
        </w:numPr>
      </w:pPr>
      <w:r>
        <w:t xml:space="preserve">The</w:t>
      </w:r>
      <w:r>
        <w:t xml:space="preserve"> </w:t>
      </w:r>
      <w:r>
        <w:rPr>
          <w:b/>
          <w:bCs/>
        </w:rPr>
        <w:t xml:space="preserve">Johnson Matthey Catalyst Technologies acquisition</w:t>
      </w:r>
      <w:r>
        <w:t xml:space="preserve"> </w:t>
      </w:r>
      <w:r>
        <w:t xml:space="preserve">was expected to close around end-July; watch for confirmation and any deal-terms/margin commentary.</w:t>
      </w:r>
    </w:p>
    <w:p>
      <w:pPr>
        <w:pStyle w:val="FirstParagraph"/>
      </w:pPr>
      <w:r>
        <w:t xml:space="preserve">The investment case is no longer "sum-of-the-parts / catalyst-driven." From here it's a straight operating story: can this be a durable ~mid-single-digit-growth, margin-expanding automation compounder?</w:t>
      </w:r>
    </w:p>
    <w:bookmarkEnd w:id="10"/>
    <w:bookmarkStart w:id="11" w:name="guidance-read-the-raise-carefully"/>
    <w:p>
      <w:pPr>
        <w:pStyle w:val="Heading2"/>
      </w:pPr>
      <w:r>
        <w:t xml:space="preserve">Guidance: read the "raise" carefully</w:t>
      </w:r>
    </w:p>
    <w:p>
      <w:pPr>
        <w:pStyle w:val="FirstParagraph"/>
      </w:pPr>
      <w:r>
        <w:t xml:space="preserve">On</w:t>
      </w:r>
      <w:r>
        <w:t xml:space="preserve"> </w:t>
      </w:r>
      <w:r>
        <w:rPr>
          <w:b/>
          <w:bCs/>
        </w:rPr>
        <w:t xml:space="preserve">July 8, Honeywell Technologies set standalone 2026 guidance</w:t>
      </w:r>
      <w:r>
        <w:t xml:space="preserve">: full-year adjusted EPS of</w:t>
      </w:r>
      <w:r>
        <w:t xml:space="preserve"> </w:t>
      </w:r>
      <m:oMath>
        <m:r>
          <m:t>7.90</m:t>
        </m:r>
        <m:r>
          <m:rPr>
            <m:sty m:val="p"/>
          </m:rPr>
          <m:t>–</m:t>
        </m:r>
      </m:oMath>
      <w:r>
        <w:rPr>
          <w:b/>
          <w:bCs/>
        </w:rPr>
        <w:t xml:space="preserve">8.30</w:t>
      </w:r>
      <w:r>
        <w:t xml:space="preserve"> </w:t>
      </w:r>
      <w:r>
        <w:t xml:space="preserve">and second-half adjusted EPS of</w:t>
      </w:r>
      <w:r>
        <w:t xml:space="preserve"> </w:t>
      </w:r>
      <m:oMath>
        <m:r>
          <m:t>4.40</m:t>
        </m:r>
        <m:r>
          <m:rPr>
            <m:sty m:val="p"/>
          </m:rPr>
          <m:t>–</m:t>
        </m:r>
      </m:oMath>
      <w:r>
        <w:rPr>
          <w:b/>
          <w:bCs/>
        </w:rPr>
        <w:t xml:space="preserve">4.70</w:t>
      </w:r>
      <w:r>
        <w:t xml:space="preserve">. Headlines framed this as a guidance "raise," but note the mechanics: the pre-split standalone ranges were</w:t>
      </w:r>
      <w:r>
        <w:t xml:space="preserve"> </w:t>
      </w:r>
      <m:oMath>
        <m:r>
          <m:t>3.95</m:t>
        </m:r>
        <m:r>
          <m:rPr>
            <m:sty m:val="p"/>
          </m:rPr>
          <m:t>–</m:t>
        </m:r>
      </m:oMath>
      <w:r>
        <w:rPr>
          <w:b/>
          <w:bCs/>
        </w:rPr>
        <w:t xml:space="preserve">4.15</w:t>
      </w:r>
      <w:r>
        <w:t xml:space="preserve"> </w:t>
      </w:r>
      <w:r>
        <w:t xml:space="preserve">(FY) and</w:t>
      </w:r>
      <w:r>
        <w:t xml:space="preserve"> </w:t>
      </w:r>
      <m:oMath>
        <m:r>
          <m:t>2.20</m:t>
        </m:r>
        <m:r>
          <m:rPr>
            <m:sty m:val="p"/>
          </m:rPr>
          <m:t>–</m:t>
        </m:r>
      </m:oMath>
      <w:r>
        <w:rPr>
          <w:b/>
          <w:bCs/>
        </w:rPr>
        <w:t xml:space="preserve">2.35</w:t>
      </w:r>
      <w:r>
        <w:t xml:space="preserve"> </w:t>
      </w:r>
      <w:r>
        <w:t xml:space="preserve">(2H). The new numbers are</w:t>
      </w:r>
      <w:r>
        <w:t xml:space="preserve"> </w:t>
      </w:r>
      <w:r>
        <w:rPr>
          <w:b/>
          <w:bCs/>
        </w:rPr>
        <w:t xml:space="preserve">exactly 2x the old ones</w:t>
      </w:r>
      <w:r>
        <w:t xml:space="preserve"> </w:t>
      </w:r>
      <w:r>
        <w:t xml:space="preserve">— i.e., this is the reverse-split adjustment,</w:t>
      </w:r>
      <w:r>
        <w:t xml:space="preserve"> </w:t>
      </w:r>
      <w:r>
        <w:rPr>
          <w:b/>
          <w:bCs/>
        </w:rPr>
        <w:t xml:space="preserve">not an operational upgrade.</w:t>
      </w:r>
      <w:r>
        <w:t xml:space="preserve"> </w:t>
      </w:r>
      <w:r>
        <w:t xml:space="preserve">Don't misread it.</w:t>
      </w:r>
    </w:p>
    <w:p>
      <w:pPr>
        <w:pStyle w:val="BodyText"/>
      </w:pPr>
      <w:r>
        <w:t xml:space="preserve">Reference points from the Q1 call (given for the</w:t>
      </w:r>
      <w:r>
        <w:t xml:space="preserve"> </w:t>
      </w:r>
      <w:r>
        <w:rPr>
          <w:i/>
          <w:iCs/>
        </w:rPr>
        <w:t xml:space="preserve">old</w:t>
      </w:r>
      <w:r>
        <w:t xml:space="preserve"> </w:t>
      </w:r>
      <w:r>
        <w:t xml:space="preserve">consolidated company, so directional only): Q2 organic sales growth of</w:t>
      </w:r>
      <w:r>
        <w:t xml:space="preserve"> </w:t>
      </w:r>
      <w:r>
        <w:rPr>
          <w:b/>
          <w:bCs/>
        </w:rPr>
        <w:t xml:space="preserve">+2% to +4%</w:t>
      </w:r>
      <w:r>
        <w:t xml:space="preserve">, segment margin of</w:t>
      </w:r>
      <w:r>
        <w:t xml:space="preserve"> </w:t>
      </w:r>
      <w:r>
        <w:rPr>
          <w:b/>
          <w:bCs/>
        </w:rPr>
        <w:t xml:space="preserve">22.2%–22.5%</w:t>
      </w:r>
      <w:r>
        <w:t xml:space="preserve">, and pricing running toward the high end of the</w:t>
      </w:r>
      <w:r>
        <w:t xml:space="preserve"> </w:t>
      </w:r>
      <w:r>
        <w:rPr>
          <w:b/>
          <w:bCs/>
        </w:rPr>
        <w:t xml:space="preserve">3–4%</w:t>
      </w:r>
      <w:r>
        <w:t xml:space="preserve"> </w:t>
      </w:r>
      <w:r>
        <w:t xml:space="preserve">range. The full-company FY guide was maintained at</w:t>
      </w:r>
      <w:r>
        <w:t xml:space="preserve"> </w:t>
      </w:r>
      <m:oMath>
        <m:r>
          <m:t>10.35</m:t>
        </m:r>
        <m:r>
          <m:rPr>
            <m:sty m:val="p"/>
          </m:rPr>
          <m:t>–</m:t>
        </m:r>
      </m:oMath>
      <w:r>
        <w:t xml:space="preserve">10.65 adjusted EPS with 3–6% organic growth.</w:t>
      </w:r>
    </w:p>
    <w:p>
      <w:pPr>
        <w:pStyle w:val="BodyText"/>
      </w:pPr>
      <w:r>
        <w:rPr>
          <w:b/>
          <w:bCs/>
        </w:rPr>
        <w:t xml:space="preserve">What to watch:</w:t>
      </w:r>
      <w:r>
        <w:t xml:space="preserve"> </w:t>
      </w:r>
      <w:r>
        <w:t xml:space="preserve">Since this is the first clean standalone quarter, the most important output may be the</w:t>
      </w:r>
      <w:r>
        <w:t xml:space="preserve"> </w:t>
      </w:r>
      <w:r>
        <w:rPr>
          <w:b/>
          <w:bCs/>
        </w:rPr>
        <w:t xml:space="preserve">guidance framework itself</w:t>
      </w:r>
      <w:r>
        <w:t xml:space="preserve"> </w:t>
      </w:r>
      <w:r>
        <w:t xml:space="preserve">— whether management reaffirms/refines the standalone FY26 range and reiterates the Investor Day medium-term algorithm:</w:t>
      </w:r>
      <w:r>
        <w:t xml:space="preserve"> </w:t>
      </w:r>
      <w:r>
        <w:rPr>
          <w:b/>
          <w:bCs/>
        </w:rPr>
        <w:t xml:space="preserve">4–6% organic growth, ~60 bps/yr organic margin expansion plus ~200 bps of structural (stranded-cost/simplification) expansion, and 10%+ adjusted EPS growth through 2029.</w:t>
      </w:r>
      <w:r>
        <w:t xml:space="preserve"> </w:t>
      </w:r>
      <w:r>
        <w:t xml:space="preserve">CFO Mike Stepniak was pointedly confident, calling the EPS target "table stakes" and saying he'd be "disappointed" if 2027 EPS growth wasn't 12%+.</w:t>
      </w:r>
    </w:p>
    <w:bookmarkEnd w:id="11"/>
    <w:bookmarkStart w:id="12" w:name="segment-scorecard--what-to-look-for"/>
    <w:p>
      <w:pPr>
        <w:pStyle w:val="Heading2"/>
      </w:pPr>
      <w:r>
        <w:t xml:space="preserve">Segment scorecard — what to look for</w:t>
      </w:r>
    </w:p>
    <w:p>
      <w:pPr>
        <w:pStyle w:val="FirstParagraph"/>
      </w:pPr>
      <w:r>
        <w:rPr>
          <w:b/>
          <w:bCs/>
        </w:rPr>
        <w:t xml:space="preserve">Building Automation (the crown jewel).</w:t>
      </w:r>
      <w:r>
        <w:t xml:space="preserve"> </w:t>
      </w:r>
      <w:r>
        <w:t xml:space="preserve">Q1 organic sales were</w:t>
      </w:r>
      <w:r>
        <w:t xml:space="preserve"> </w:t>
      </w:r>
      <w:r>
        <w:rPr>
          <w:b/>
          <w:bCs/>
        </w:rPr>
        <w:t xml:space="preserve">+8%</w:t>
      </w:r>
      <w:r>
        <w:t xml:space="preserve"> </w:t>
      </w:r>
      <w:r>
        <w:t xml:space="preserve">with segment margin of 26.4% and orders +9% — the seventh straight quarter of high-single-digit growth, led by data centers, healthcare, and hospitality. Investors want confirmation the momentum is intact and that orders (a leading indicator) stayed strong. Management targets</w:t>
      </w:r>
      <w:r>
        <w:t xml:space="preserve"> </w:t>
      </w:r>
      <w:r>
        <w:rPr>
          <w:b/>
          <w:bCs/>
        </w:rPr>
        <w:t xml:space="preserve">~29% margins over three years</w:t>
      </w:r>
      <w:r>
        <w:t xml:space="preserve">. Any sign of decelerating data-center demand or intensifying competition (fire/BMS) would be a negative.</w:t>
      </w:r>
    </w:p>
    <w:p>
      <w:pPr>
        <w:pStyle w:val="BodyText"/>
      </w:pPr>
      <w:r>
        <w:rPr>
          <w:b/>
          <w:bCs/>
        </w:rPr>
        <w:t xml:space="preserve">Process Automation &amp; Technology (the swing factor — and the big debate).</w:t>
      </w:r>
      <w:r>
        <w:t xml:space="preserve"> </w:t>
      </w:r>
      <w:r>
        <w:t xml:space="preserve">This is where the quarter will be won or lost. Q1 organic sales fell</w:t>
      </w:r>
      <w:r>
        <w:t xml:space="preserve"> </w:t>
      </w:r>
      <w:r>
        <w:rPr>
          <w:b/>
          <w:bCs/>
        </w:rPr>
        <w:t xml:space="preserve">~6%</w:t>
      </w:r>
      <w:r>
        <w:t xml:space="preserve"> </w:t>
      </w:r>
      <w:r>
        <w:t xml:space="preserve">on catalyst-reload delays and Middle East disruption, but</w:t>
      </w:r>
      <w:r>
        <w:t xml:space="preserve"> </w:t>
      </w:r>
      <w:r>
        <w:rPr>
          <w:b/>
          <w:bCs/>
        </w:rPr>
        <w:t xml:space="preserve">backlog rose ~22%</w:t>
      </w:r>
      <w:r>
        <w:t xml:space="preserve"> </w:t>
      </w:r>
      <w:r>
        <w:t xml:space="preserve">on multi-quarter double-digit process-technology order growth (LNG, refining, petrochem). Management staked its credibility on a</w:t>
      </w:r>
      <w:r>
        <w:t xml:space="preserve"> </w:t>
      </w:r>
      <w:r>
        <w:rPr>
          <w:b/>
          <w:bCs/>
        </w:rPr>
        <w:t xml:space="preserve">sharp 2H inflection to high-single-digit growth</w:t>
      </w:r>
      <w:r>
        <w:t xml:space="preserve"> </w:t>
      </w:r>
      <w:r>
        <w:t xml:space="preserve">as LNG/modular projects convert and catalyst demand returns (they cited 2H short-cycle catalyst demand up 20%+). Q2 was explicitly guided</w:t>
      </w:r>
      <w:r>
        <w:t xml:space="preserve"> </w:t>
      </w:r>
      <w:r>
        <w:rPr>
          <w:b/>
          <w:bCs/>
        </w:rPr>
        <w:t xml:space="preserve">slightly weaker than Q1</w:t>
      </w:r>
      <w:r>
        <w:t xml:space="preserve"> </w:t>
      </w:r>
      <w:r>
        <w:t xml:space="preserve">due to incremental Middle East pressure and unfavorable catalyst-shipment timing/mix — so a soft Q2 here is</w:t>
      </w:r>
      <w:r>
        <w:t xml:space="preserve"> </w:t>
      </w:r>
      <w:r>
        <w:rPr>
          <w:i/>
          <w:iCs/>
        </w:rPr>
        <w:t xml:space="preserve">expected</w:t>
      </w:r>
      <w:r>
        <w:t xml:space="preserve">; the key is whether</w:t>
      </w:r>
      <w:r>
        <w:t xml:space="preserve"> </w:t>
      </w:r>
      <w:r>
        <w:rPr>
          <w:b/>
          <w:bCs/>
        </w:rPr>
        <w:t xml:space="preserve">backlog conversion and order momentum keep the 2H ramp on track.</w:t>
      </w:r>
    </w:p>
    <w:p>
      <w:pPr>
        <w:pStyle w:val="BodyText"/>
      </w:pPr>
      <w:r>
        <w:rPr>
          <w:b/>
          <w:bCs/>
        </w:rPr>
        <w:t xml:space="preserve">Industrial Automation (the turnaround).</w:t>
      </w:r>
      <w:r>
        <w:t xml:space="preserve"> </w:t>
      </w:r>
      <w:r>
        <w:t xml:space="preserve">After shedding PSS and WWS, IA is being repositioned as a focused</w:t>
      </w:r>
      <w:r>
        <w:t xml:space="preserve"> </w:t>
      </w:r>
      <w:r>
        <w:rPr>
          <w:b/>
          <w:bCs/>
        </w:rPr>
        <w:t xml:space="preserve">sensing &amp; measurement</w:t>
      </w:r>
      <w:r>
        <w:t xml:space="preserve"> </w:t>
      </w:r>
      <w:r>
        <w:t xml:space="preserve">business (~$4B pro forma). Q1 was only +1% organic but delivered</w:t>
      </w:r>
      <w:r>
        <w:t xml:space="preserve"> </w:t>
      </w:r>
      <w:r>
        <w:rPr>
          <w:b/>
          <w:bCs/>
        </w:rPr>
        <w:t xml:space="preserve">+260 bps of margin expansion</w:t>
      </w:r>
      <w:r>
        <w:t xml:space="preserve"> </w:t>
      </w:r>
      <w:r>
        <w:t xml:space="preserve">and +10% orders (recovery in China/Europe). The three-year target is mid-single-digit growth and **~500 bps of margin expansion to ~25%**. Watch for the pro-forma margin trajectory and evidence the growth inflection is real, not just self-help/cost-out.</w:t>
      </w:r>
    </w:p>
    <w:bookmarkEnd w:id="12"/>
    <w:bookmarkStart w:id="13" w:name="key-risks-and-debates"/>
    <w:p>
      <w:pPr>
        <w:pStyle w:val="Heading2"/>
      </w:pPr>
      <w:r>
        <w:t xml:space="preserve">Key risks and debates</w:t>
      </w:r>
    </w:p>
    <w:p>
      <w:pPr>
        <w:numPr>
          <w:ilvl w:val="0"/>
          <w:numId w:val="1002"/>
        </w:numPr>
      </w:pPr>
      <w:r>
        <w:rPr>
          <w:b/>
          <w:bCs/>
        </w:rPr>
        <w:t xml:space="preserve">Middle East / oil is now a live, worsening variable.</w:t>
      </w:r>
      <w:r>
        <w:t xml:space="preserve"> </w:t>
      </w:r>
      <w:r>
        <w:t xml:space="preserve">The conflict that clipped ~0.5% of Q1 revenue and ~1% of Q2 revenue has</w:t>
      </w:r>
      <w:r>
        <w:t xml:space="preserve"> </w:t>
      </w:r>
      <w:r>
        <w:rPr>
          <w:b/>
          <w:bCs/>
        </w:rPr>
        <w:t xml:space="preserve">re-escalated in July</w:t>
      </w:r>
      <w:r>
        <w:t xml:space="preserve"> </w:t>
      </w:r>
      <w:r>
        <w:t xml:space="preserve">— reports of renewed U.S. strikes on Iran, Brent back near **</w:t>
      </w:r>
      <m:oMath>
        <m:r>
          <m:t>95</m:t>
        </m:r>
        <m:r>
          <m:rPr>
            <m:sty m:val="p"/>
          </m:rPr>
          <m:t>*</m:t>
        </m:r>
        <m:r>
          <m:rPr>
            <m:sty m:val="p"/>
          </m:rPr>
          <m:t>*</m:t>
        </m:r>
        <m:r>
          <m:rPr>
            <m:sty m:val="p"/>
          </m:rPr>
          <m:t>,</m:t>
        </m:r>
        <m:r>
          <m:t>W</m:t>
        </m:r>
        <m:r>
          <m:t>T</m:t>
        </m:r>
        <m:r>
          <m:t>I</m:t>
        </m:r>
        <m:r>
          <m:t> </m:t>
        </m:r>
      </m:oMath>
      <w:r>
        <w:t xml:space="preserve">87, and Strait of Hormuz shipping disruptions. This is genuinely two-sided for HON: near-term it pressures PA&amp;T aftermarket/services shipments and logistics; longer-term, elevated oil supports catalyst/services demand, refinery/petrochem economics, LNG investment, and Middle East rebuild work (Honeywell equipment at damaged facilities). Management's tone on the</w:t>
      </w:r>
      <w:r>
        <w:t xml:space="preserve"> </w:t>
      </w:r>
      <w:r>
        <w:rPr>
          <w:b/>
          <w:bCs/>
        </w:rPr>
        <w:t xml:space="preserve">near-term hit vs. the deferred tailwind</w:t>
      </w:r>
      <w:r>
        <w:t xml:space="preserve"> </w:t>
      </w:r>
      <w:r>
        <w:t xml:space="preserve">will matter.</w:t>
      </w:r>
    </w:p>
    <w:p>
      <w:pPr>
        <w:numPr>
          <w:ilvl w:val="0"/>
          <w:numId w:val="1002"/>
        </w:numPr>
      </w:pPr>
      <w:r>
        <w:rPr>
          <w:b/>
          <w:bCs/>
        </w:rPr>
        <w:t xml:space="preserve">Credibility of the 2H ramp.</w:t>
      </w:r>
      <w:r>
        <w:t xml:space="preserve"> </w:t>
      </w:r>
      <w:r>
        <w:t xml:space="preserve">The entire full-year PA&amp;T (and part of the EPS) story rests on a back-half acceleration. Investors are appropriately skeptical of second-half hockey sticks; expect scrutiny on backlog conversion timing and any FID/project push-outs.</w:t>
      </w:r>
    </w:p>
    <w:p>
      <w:pPr>
        <w:numPr>
          <w:ilvl w:val="0"/>
          <w:numId w:val="1002"/>
        </w:numPr>
      </w:pPr>
      <w:r>
        <w:rPr>
          <w:b/>
          <w:bCs/>
        </w:rPr>
        <w:t xml:space="preserve">Margins and stranded costs.</w:t>
      </w:r>
      <w:r>
        <w:t xml:space="preserve"> </w:t>
      </w:r>
      <w:r>
        <w:t xml:space="preserve">Management says stranded costs are down to ~$290M with most coming out over the next 12 months, plus structural simplification (consolidating ~700 legal entities toward ~300, ~10 ERPs toward 2, shared-services penetration 40%→70%). Watch pricing (~4%) vs. inflation, and the pace of stranded-cost removal — a swing factor for the margin narrative.</w:t>
      </w:r>
    </w:p>
    <w:p>
      <w:pPr>
        <w:numPr>
          <w:ilvl w:val="0"/>
          <w:numId w:val="1002"/>
        </w:numPr>
      </w:pPr>
      <w:r>
        <w:rPr>
          <w:b/>
          <w:bCs/>
        </w:rPr>
        <w:t xml:space="preserve">Capital allocation / balance sheet.</w:t>
      </w:r>
      <w:r>
        <w:t xml:space="preserve"> </w:t>
      </w:r>
      <w:r>
        <w:t xml:space="preserve">Honeywell raised ~</w:t>
      </w:r>
      <m:oMath>
        <m:r>
          <m:t>16</m:t>
        </m:r>
        <m:r>
          <m:rPr>
            <m:sty m:val="p"/>
          </m:rPr>
          <m:t>–</m:t>
        </m:r>
        <m:r>
          <m:t>20</m:t>
        </m:r>
        <m:r>
          <m:t>B</m:t>
        </m:r>
        <m:r>
          <m:t>o</m:t>
        </m:r>
        <m:r>
          <m:t>f</m:t>
        </m:r>
        <m:r>
          <m:t>d</m:t>
        </m:r>
        <m:r>
          <m:t>e</m:t>
        </m:r>
        <m:r>
          <m:t>b</m:t>
        </m:r>
        <m:r>
          <m:t>t</m:t>
        </m:r>
        <m:r>
          <m:t>a</m:t>
        </m:r>
        <m:r>
          <m:t>r</m:t>
        </m:r>
        <m:r>
          <m:t>o</m:t>
        </m:r>
        <m:r>
          <m:t>u</m:t>
        </m:r>
        <m:r>
          <m:t>n</m:t>
        </m:r>
        <m:r>
          <m:t>d</m:t>
        </m:r>
        <m:r>
          <m:t>t</m:t>
        </m:r>
        <m:r>
          <m:t>h</m:t>
        </m:r>
        <m:r>
          <m:t>e</m:t>
        </m:r>
        <m:r>
          <m:t>A</m:t>
        </m:r>
        <m:r>
          <m:t>e</m:t>
        </m:r>
        <m:r>
          <m:t>r</m:t>
        </m:r>
        <m:r>
          <m:t>o</m:t>
        </m:r>
        <m:r>
          <m:t>s</m:t>
        </m:r>
        <m:r>
          <m:t>e</m:t>
        </m:r>
        <m:r>
          <m:t>p</m:t>
        </m:r>
        <m:r>
          <m:t>a</m:t>
        </m:r>
        <m:r>
          <m:t>r</m:t>
        </m:r>
        <m:r>
          <m:t>a</m:t>
        </m:r>
        <m:r>
          <m:t>t</m:t>
        </m:r>
        <m:r>
          <m:t>i</m:t>
        </m:r>
        <m:r>
          <m:t>o</m:t>
        </m:r>
        <m:r>
          <m:t>n</m:t>
        </m:r>
        <m:r>
          <m:t>a</m:t>
        </m:r>
        <m:r>
          <m:t>n</m:t>
        </m:r>
        <m:r>
          <m:t>d</m:t>
        </m:r>
        <m:r>
          <m:t>i</m:t>
        </m:r>
        <m:r>
          <m:t>s</m:t>
        </m:r>
        <m:r>
          <m:t>r</m:t>
        </m:r>
        <m:r>
          <m:t>e</m:t>
        </m:r>
        <m:r>
          <m:t>t</m:t>
        </m:r>
        <m:r>
          <m:t>i</m:t>
        </m:r>
        <m:r>
          <m:t>r</m:t>
        </m:r>
        <m:r>
          <m:t>i</m:t>
        </m:r>
        <m:r>
          <m:t>n</m:t>
        </m:r>
        <m:r>
          <m:t>g</m:t>
        </m:r>
        <m:r>
          <m:t> </m:t>
        </m:r>
      </m:oMath>
      <w:r>
        <w:t xml:space="preserve">21B; the goal is</w:t>
      </w:r>
      <w:r>
        <w:t xml:space="preserve"> </w:t>
      </w:r>
      <w:r>
        <w:rPr>
          <w:b/>
          <w:bCs/>
        </w:rPr>
        <w:t xml:space="preserve">net leverage below ~3x by year-end</w:t>
      </w:r>
      <w:r>
        <w:t xml:space="preserve">, ~1% annual share-count reduction, ~35% dividend payout, and continued</w:t>
      </w:r>
      <w:r>
        <w:t xml:space="preserve"> </w:t>
      </w:r>
      <w:r>
        <w:rPr>
          <w:b/>
          <w:bCs/>
        </w:rPr>
        <w:t xml:space="preserve">$2–4B bolt-on M&amp;A</w:t>
      </w:r>
      <w:r>
        <w:t xml:space="preserve">. Free-cash-flow conversion was weak in 1H (spin costs, Middle East collections) but management guides to 95%+ conversion in 2H — worth verifying.</w:t>
      </w:r>
    </w:p>
    <w:p>
      <w:pPr>
        <w:numPr>
          <w:ilvl w:val="0"/>
          <w:numId w:val="1002"/>
        </w:numPr>
      </w:pPr>
      <w:r>
        <w:rPr>
          <w:b/>
          <w:bCs/>
        </w:rPr>
        <w:t xml:space="preserve">Valuation / narrative.</w:t>
      </w:r>
      <w:r>
        <w:t xml:space="preserve"> </w:t>
      </w:r>
      <w:r>
        <w:t xml:space="preserve">Post-spin HON closed at</w:t>
      </w:r>
      <w:r>
        <w:t xml:space="preserve"> </w:t>
      </w:r>
      <w:r>
        <w:rPr>
          <w:b/>
          <w:bCs/>
        </w:rPr>
        <w:t xml:space="preserve">$233.03 on July 22</w:t>
      </w:r>
      <w:r>
        <w:t xml:space="preserve"> </w:t>
      </w:r>
      <w:r>
        <w:t xml:space="preserve">(HONA at</w:t>
      </w:r>
      <w:r>
        <w:t xml:space="preserve"> </w:t>
      </w:r>
      <m:oMath>
        <m:r>
          <m:t>207.82</m:t>
        </m:r>
        <m:r>
          <m:t>a</m:t>
        </m:r>
        <m:r>
          <m:t>n</m:t>
        </m:r>
        <m:r>
          <m:t>d</m:t>
        </m:r>
        <m:r>
          <m:t>d</m:t>
        </m:r>
        <m:r>
          <m:t>r</m:t>
        </m:r>
        <m:r>
          <m:t>i</m:t>
        </m:r>
        <m:r>
          <m:t>f</m:t>
        </m:r>
        <m:r>
          <m:t>t</m:t>
        </m:r>
        <m:r>
          <m:t>i</m:t>
        </m:r>
        <m:r>
          <m:t>n</m:t>
        </m:r>
        <m:r>
          <m:t>g</m:t>
        </m:r>
        <m:r>
          <m:t>l</m:t>
        </m:r>
        <m:r>
          <m:t>o</m:t>
        </m:r>
        <m:r>
          <m:t>w</m:t>
        </m:r>
        <m:r>
          <m:t>e</m:t>
        </m:r>
        <m:r>
          <m:t>r</m:t>
        </m:r>
        <m:r>
          <m:t>s</m:t>
        </m:r>
        <m:r>
          <m:t>i</m:t>
        </m:r>
        <m:r>
          <m:t>n</m:t>
        </m:r>
        <m:r>
          <m:t>c</m:t>
        </m:r>
        <m:r>
          <m:t>e</m:t>
        </m:r>
        <m:r>
          <m:t>t</m:t>
        </m:r>
        <m:r>
          <m:t>h</m:t>
        </m:r>
        <m:r>
          <m:t>e</m:t>
        </m:r>
        <m:r>
          <m:t>s</m:t>
        </m:r>
        <m:r>
          <m:t>p</m:t>
        </m:r>
        <m:r>
          <m:t>l</m:t>
        </m:r>
        <m:r>
          <m:t>i</m:t>
        </m:r>
        <m:r>
          <m:t>t</m:t>
        </m:r>
        <m:r>
          <m:rPr>
            <m:sty m:val="p"/>
          </m:rPr>
          <m:t>)</m:t>
        </m:r>
        <m:r>
          <m:rPr>
            <m:sty m:val="p"/>
          </m:rPr>
          <m:t>.</m:t>
        </m:r>
        <m:r>
          <m:t>A</m:t>
        </m:r>
        <m:r>
          <m:t>t</m:t>
        </m:r>
        <m:r>
          <m:t> </m:t>
        </m:r>
      </m:oMath>
      <w:r>
        <w:t xml:space="preserve">233 against the</w:t>
      </w:r>
      <w:r>
        <w:t xml:space="preserve"> </w:t>
      </w:r>
      <m:oMath>
        <m:r>
          <m:t>7.90</m:t>
        </m:r>
        <m:r>
          <m:rPr>
            <m:sty m:val="p"/>
          </m:rPr>
          <m:t>–</m:t>
        </m:r>
      </m:oMath>
      <w:r>
        <w:t xml:space="preserve">8.30 EPS guide, the stock trades around ~29x forward earnings. Commentators have framed Honeywell Technologies as trading at a discount to premium automation peers like Rockwell, with somewhat slower expected earnings growth — so the market is looking for proof that the focused portfolio can grow and re-rate. This quarter is the first data point in that argument.</w:t>
      </w:r>
    </w:p>
    <w:bookmarkEnd w:id="13"/>
    <w:bookmarkStart w:id="14" w:name="bottom-line--what-would-move-the-stock"/>
    <w:p>
      <w:pPr>
        <w:pStyle w:val="Heading2"/>
      </w:pPr>
      <w:r>
        <w:t xml:space="preserve">Bottom line — what would move the stock</w:t>
      </w:r>
    </w:p>
    <w:p>
      <w:pPr>
        <w:pStyle w:val="Compact"/>
        <w:numPr>
          <w:ilvl w:val="0"/>
          <w:numId w:val="1003"/>
        </w:numPr>
      </w:pPr>
      <w:r>
        <w:rPr>
          <w:b/>
          <w:bCs/>
        </w:rPr>
        <w:t xml:space="preserve">Bullish:</w:t>
      </w:r>
      <w:r>
        <w:t xml:space="preserve"> </w:t>
      </w:r>
      <w:r>
        <w:t xml:space="preserve">Building Automation momentum sustained, PA&amp;T orders/backlog reaffirm the 2H inflection, standalone FY guide reaffirmed or nudged up on an operational (not split) basis, visible stranded-cost/margin progress, and leverage tracking to target.</w:t>
      </w:r>
    </w:p>
    <w:p>
      <w:pPr>
        <w:pStyle w:val="Compact"/>
        <w:numPr>
          <w:ilvl w:val="0"/>
          <w:numId w:val="1003"/>
        </w:numPr>
      </w:pPr>
      <w:r>
        <w:rPr>
          <w:b/>
          <w:bCs/>
        </w:rPr>
        <w:t xml:space="preserve">Bearish:</w:t>
      </w:r>
      <w:r>
        <w:t xml:space="preserve"> </w:t>
      </w:r>
      <w:r>
        <w:t xml:space="preserve">A deeper-than-guided Middle East hit that starts to threaten the 2H PA&amp;T ramp, any wobble in Building Automation orders, softer standalone margins/free cash flow, or a cautious tone on data-center or short-cycle demand.</w:t>
      </w:r>
    </w:p>
    <w:p>
      <w:pPr>
        <w:pStyle w:val="FirstParagraph"/>
      </w:pPr>
      <w:r>
        <w:t xml:space="preserve">Because this is the debut quarter of a re-shaped company, the</w:t>
      </w:r>
      <w:r>
        <w:t xml:space="preserve"> </w:t>
      </w:r>
      <w:r>
        <w:rPr>
          <w:b/>
          <w:bCs/>
        </w:rPr>
        <w:t xml:space="preserve">narrative, framework, and 2H bridge</w:t>
      </w:r>
      <w:r>
        <w:t xml:space="preserve"> </w:t>
      </w:r>
      <w:r>
        <w:t xml:space="preserve">are likely to matter more than the exact Q2 EPS beat/miss. The clarity (or lack thereof) management provides on the standalone earnings power will set the tone for how the market values the "new" Honeywell.</w:t>
      </w:r>
    </w:p>
    <w:p>
      <w:pPr>
        <w:pStyle w:val="BodyText"/>
      </w:pPr>
      <w:r>
        <w:rPr>
          <w:i/>
          <w:iCs/>
        </w:rPr>
        <w:t xml:space="preserve">Note: My tools didn't surface a published sell-side consensus figure for the standalone Q2; I'd anchor expectations to the company's own</w:t>
      </w:r>
      <w:r>
        <w:rPr>
          <w:i/>
          <w:iCs/>
        </w:rPr>
        <w:t xml:space="preserve"> </w:t>
      </w:r>
      <m:oMath>
        <m:r>
          <m:t>7.90</m:t>
        </m:r>
        <m:r>
          <m:rPr>
            <m:sty m:val="p"/>
          </m:rPr>
          <m:t>–</m:t>
        </m:r>
      </m:oMath>
      <w:r>
        <w:rPr>
          <w:i/>
          <w:iCs/>
        </w:rPr>
        <w:t xml:space="preserve">8.30 FY /</w:t>
      </w:r>
      <w:r>
        <w:rPr>
          <w:i/>
          <w:iCs/>
        </w:rPr>
        <w:t xml:space="preserve"> </w:t>
      </w:r>
      <m:oMath>
        <m:r>
          <m:t>4.40</m:t>
        </m:r>
        <m:r>
          <m:rPr>
            <m:sty m:val="p"/>
          </m:rPr>
          <m:t>–</m:t>
        </m:r>
      </m:oMath>
      <w:r>
        <w:rPr>
          <w:i/>
          <w:iCs/>
        </w:rPr>
        <w:t xml:space="preserve">4.70 2H standalone guidance and the ~mid-single-digit organic growth framework rather than legacy consolidated estimates.</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2026-07-23T00:05:23Z</dcterms:created>
  <dcterms:modified xsi:type="dcterms:W3CDTF">2026-07-23T00:05:23Z</dcterms:modified>
</cp:coreProperties>
</file>

<file path=docProps/custom.xml><?xml version="1.0" encoding="utf-8"?>
<Properties xmlns="http://schemas.openxmlformats.org/officeDocument/2006/custom-properties" xmlns:vt="http://schemas.openxmlformats.org/officeDocument/2006/docPropsVTypes"/>
</file>