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-earnings-predictions--2026-07-23"/>
    <w:p>
      <w:pPr>
        <w:pStyle w:val="Heading1"/>
      </w:pPr>
      <w:r>
        <w:t xml:space="preserve">HON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(Q2'26, standalone Honeywell Technologies)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~$1.85 vs. cons $1.80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~$5.02B vs. cons $5.00B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Profit Margin (Q2'26, company-wide automation segments)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~20.6% vs. cons 20.3%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~$4.55 (mid of</w:t>
            </w:r>
            <w:r>
              <w:t xml:space="preserve"> </w:t>
            </w:r>
            <m:oMath>
              <m:r>
                <m:t>4.40</m:t>
              </m:r>
              <m:r>
                <m:rPr>
                  <m:sty m:val="p"/>
                </m:rPr>
                <m:t>−</m:t>
              </m:r>
            </m:oMath>
            <w:r>
              <w:t xml:space="preserve">4.70) vs. cons ~$4.50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~$8.10 (mid of</w:t>
            </w:r>
            <w:r>
              <w:t xml:space="preserve"> </w:t>
            </w:r>
            <m:oMath>
              <m:r>
                <m:t>7.90</m:t>
              </m:r>
              <m:r>
                <m:rPr>
                  <m:sty m:val="p"/>
                </m:rPr>
                <m:t>−</m:t>
              </m:r>
            </m:oMath>
            <w:r>
              <w:t xml:space="preserve">8.30) vs. cons ~$8.00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conversion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~80% vs. cons ~75%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Process Automation &amp; Technology organic growth inflection (H2'26 commentary)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~high-single-digit H2 growth vs. cons ~mid-single-digit implied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(STABILIZE)</w:t>
            </w:r>
          </w:p>
        </w:tc>
        <w:tc>
          <w:tcPr/>
          <w:p>
            <w:pPr>
              <w:pStyle w:val="Compact"/>
            </w:pPr>
            <w:r>
              <w:t xml:space="preserve">Guidance was already raised just two weeks before the print (July 8), so most upside is pre-baked into consensus, capping the reaction to any in-line/modest beat. The quarter is mechanically messy (spin accounting, reverse split, Quantinuum deconsolidation, pending WWS/PSS divestitures), which will keep sell-side model rebuilds active for days without a clear directional catalyst. Absent a clean confirmation or disappointment on the PA&amp;T Middle East ramp (the single biggest swing factor), estimate revisions should be modest and two-sided, pulling any initial move back toward flat as analysts normalize for one-time items rather than extending a trend.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2026-07-23T00:10:31Z</dcterms:created>
  <dcterms:modified xsi:type="dcterms:W3CDTF">2026-07-23T00:10:31Z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