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X12140bfc8937723629545af8d01171b252c7483"/>
    <w:p>
      <w:pPr>
        <w:pStyle w:val="Heading1"/>
      </w:pPr>
      <w:r>
        <w:t xml:space="preserve">Honeywell (HON) Q2 2026 Earnings Preview — Reporting July 23, 2026 (Before Market Open)</w:t>
      </w:r>
    </w:p>
    <w:bookmarkStart w:id="9" w:name="Xd19af12abcab5e9b19b8902bc42944a9aa8c97d"/>
    <w:p>
      <w:pPr>
        <w:pStyle w:val="Heading2"/>
      </w:pPr>
      <w:r>
        <w:t xml:space="preserve">The Elephant in the Room: This Is a Completely Different Company</w:t>
      </w:r>
    </w:p>
    <w:p>
      <w:pPr>
        <w:pStyle w:val="FirstParagraph"/>
      </w:pPr>
      <w:r>
        <w:t xml:space="preserve">Investors tuning into tomorrow's call need to reset their frame of reference. The "HON" reporting tomorrow is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the aerospace-and-automation conglomerate that traded under that ticker a year ago. On</w:t>
      </w:r>
      <w:r>
        <w:t xml:space="preserve"> </w:t>
      </w:r>
      <w:r>
        <w:rPr>
          <w:b/>
          <w:bCs/>
        </w:rPr>
        <w:t xml:space="preserve">June 29, 2026</w:t>
      </w:r>
      <w:r>
        <w:t xml:space="preserve">, Honeywell completed the spin-off of</w:t>
      </w:r>
      <w:r>
        <w:t xml:space="preserve"> </w:t>
      </w:r>
      <w:r>
        <w:rPr>
          <w:b/>
          <w:bCs/>
        </w:rPr>
        <w:t xml:space="preserve">Honeywell Aerospace (NASDAQ: HONA)</w:t>
      </w:r>
      <w:r>
        <w:t xml:space="preserve">, and the remaining entity was rebranded</w:t>
      </w:r>
      <w:r>
        <w:t xml:space="preserve"> </w:t>
      </w:r>
      <w:r>
        <w:rPr>
          <w:b/>
          <w:bCs/>
        </w:rPr>
        <w:t xml:space="preserve">Honeywell Technologies</w:t>
      </w:r>
      <w:r>
        <w:t xml:space="preserve"> </w:t>
      </w:r>
      <w:r>
        <w:t xml:space="preserve">— a pure-play automation company built around Building Automation, Industrial Automation, and Process Automation and Technology. Roughly two weeks later, on July 8, the company completed a</w:t>
      </w:r>
      <w:r>
        <w:t xml:space="preserve"> </w:t>
      </w:r>
      <w:r>
        <w:rPr>
          <w:b/>
          <w:bCs/>
        </w:rPr>
        <w:t xml:space="preserve">1-for-2 reverse stock split</w:t>
      </w:r>
      <w:r>
        <w:t xml:space="preserve"> </w:t>
      </w:r>
      <w:r>
        <w:t xml:space="preserve">and simultaneously</w:t>
      </w:r>
      <w:r>
        <w:t xml:space="preserve"> </w:t>
      </w:r>
      <w:r>
        <w:rPr>
          <w:b/>
          <w:bCs/>
        </w:rPr>
        <w:t xml:space="preserve">raised its second-half and full-year 2026 profit targets</w:t>
      </w:r>
      <w:r>
        <w:t xml:space="preserve"> </w:t>
      </w:r>
      <w:r>
        <w:t xml:space="preserve">— second-half adjusted EPS is now guided to</w:t>
      </w:r>
      <w:r>
        <w:t xml:space="preserve"> </w:t>
      </w:r>
      <m:oMath>
        <m:r>
          <m:t>4.40</m:t>
        </m:r>
        <m:r>
          <m:rPr>
            <m:sty m:val="p"/>
          </m:rPr>
          <m:t>–</m:t>
        </m:r>
      </m:oMath>
      <w:r>
        <w:t xml:space="preserve">4.70 (from</w:t>
      </w:r>
      <w:r>
        <w:t xml:space="preserve"> </w:t>
      </w:r>
      <m:oMath>
        <m:r>
          <m:t>2.20</m:t>
        </m:r>
        <m:r>
          <m:rPr>
            <m:sty m:val="p"/>
          </m:rPr>
          <m:t>–</m:t>
        </m:r>
      </m:oMath>
      <w:r>
        <w:t xml:space="preserve">2.35 pre-split) and full-year adjusted EPS to</w:t>
      </w:r>
      <w:r>
        <w:t xml:space="preserve"> </w:t>
      </w:r>
      <m:oMath>
        <m:r>
          <m:t>7.90</m:t>
        </m:r>
        <m:r>
          <m:rPr>
            <m:sty m:val="p"/>
          </m:rPr>
          <m:t>–</m:t>
        </m:r>
      </m:oMath>
      <w:r>
        <w:t xml:space="preserve">8.30 (from</w:t>
      </w:r>
      <w:r>
        <w:t xml:space="preserve"> </w:t>
      </w:r>
      <m:oMath>
        <m:r>
          <m:t>3.95</m:t>
        </m:r>
        <m:r>
          <m:rPr>
            <m:sty m:val="p"/>
          </m:rPr>
          <m:t>–</m:t>
        </m:r>
      </m:oMath>
      <w:r>
        <w:t xml:space="preserve">4.15).</w:t>
      </w:r>
    </w:p>
    <w:p>
      <w:pPr>
        <w:pStyle w:val="BodyText"/>
      </w:pPr>
      <w:r>
        <w:t xml:space="preserve">This means tomorrow's Q2 print is the</w:t>
      </w:r>
      <w:r>
        <w:t xml:space="preserve"> </w:t>
      </w:r>
      <w:r>
        <w:rPr>
          <w:b/>
          <w:bCs/>
        </w:rPr>
        <w:t xml:space="preserve">first quarterly report of the "new" Honeywell</w:t>
      </w:r>
      <w:r>
        <w:t xml:space="preserve">, and year-over-year comparisons versus last year's reported figures (which included Aerospace) will look badly distorted — consensus revenue is down roughly 52% y/y and EPS is guided down over 60% y/y purely because of the portfolio reshuffling, not underlying deterioration. Investors should focus on sequential trends, segment-level detail, and management's own guidance framework rather than headline y/y optics.</w:t>
      </w:r>
    </w:p>
    <w:bookmarkEnd w:id="9"/>
    <w:bookmarkStart w:id="10" w:name="what-wall-street-expects"/>
    <w:p>
      <w:pPr>
        <w:pStyle w:val="Heading2"/>
      </w:pPr>
      <w:r>
        <w:t xml:space="preserve">What Wall Street Expects</w:t>
      </w:r>
    </w:p>
    <w:p>
      <w:pPr>
        <w:pStyle w:val="FirstParagraph"/>
      </w:pPr>
      <w:r>
        <w:t xml:space="preserve">Estimates have been in flux as analysts rebuild models for the standalone entity. Current consensus (Zacks/Alphastreet) points to</w:t>
      </w:r>
      <w:r>
        <w:t xml:space="preserve"> </w:t>
      </w:r>
      <w:r>
        <w:rPr>
          <w:b/>
          <w:bCs/>
        </w:rPr>
        <w:t xml:space="preserve">adjusted EPS of ~</w:t>
      </w:r>
      <m:oMath>
        <m:r>
          <m:t>1.80</m:t>
        </m:r>
        <m:r>
          <m:rPr>
            <m:sty m:val="p"/>
          </m:rPr>
          <m:t>–</m:t>
        </m:r>
      </m:oMath>
      <w:r>
        <w:rPr>
          <w:b/>
          <w:bCs/>
        </w:rPr>
        <w:t xml:space="preserve">1.81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revenue of roughly $5.0 billion</w:t>
      </w:r>
      <w:r>
        <w:t xml:space="preserve">, with estimates having fallen sharply over the past 30–90 days simply reflecting the removal of Aerospace from the model. Honeywell/Honeywell Technologies has beaten consensus EPS in each of the last several quarters (average surprise ~5–6%), but given the volume of moving parts (spin accounting, reverse split, deconsolidation of Quantinuum, pending divestitures), a "clean" beat/miss read may be harder to parse this quarter than usual.</w:t>
      </w:r>
    </w:p>
    <w:bookmarkEnd w:id="10"/>
    <w:bookmarkStart w:id="11" w:name="X2ae15c7e20526856c22caed6eb9b069ade9650e"/>
    <w:p>
      <w:pPr>
        <w:pStyle w:val="Heading2"/>
      </w:pPr>
      <w:r>
        <w:t xml:space="preserve">Recap: What We Learned Heading Into the Print</w:t>
      </w:r>
    </w:p>
    <w:p>
      <w:pPr>
        <w:pStyle w:val="FirstParagraph"/>
      </w:pPr>
      <w:r>
        <w:rPr>
          <w:b/>
          <w:bCs/>
        </w:rPr>
        <w:t xml:space="preserve">Q1 2026 (last quarter as combined Honeywell) was solid but not clean.</w:t>
      </w:r>
      <w:r>
        <w:t xml:space="preserve"> </w:t>
      </w:r>
      <w:r>
        <w:t xml:space="preserve">The company reported reported and organic sales growth of 2%, orders up 7% organically (pushing backlog to $38.3 billion), and segment margin expansion of 90 bps to 23.3%, while adjusted EPS rose 11% to $2.45. However, GAAP EPS fell 35% to $1.29 due to debt-restructuring charges, asset impairments tied to businesses held for sale, and separation costs. Management reaffirmed full-year guidance despite temporary mechanical supply-chain constraints in Aerospace and a roughly 1.5-point revenue drag from the Middle East conflict concentrated in Process Automation and Technology (PA&amp;T). Notably, Q1 also brought announcements to sell</w:t>
      </w:r>
      <w:r>
        <w:t xml:space="preserve"> </w:t>
      </w:r>
      <w:r>
        <w:rPr>
          <w:b/>
          <w:bCs/>
        </w:rPr>
        <w:t xml:space="preserve">Warehouse and Workflow Solutions (WWS)</w:t>
      </w:r>
      <w:r>
        <w:t xml:space="preserve"> </w:t>
      </w:r>
      <w:r>
        <w:t xml:space="preserve">to American Industrial Partners and</w:t>
      </w:r>
      <w:r>
        <w:t xml:space="preserve"> </w:t>
      </w:r>
      <w:r>
        <w:rPr>
          <w:b/>
          <w:bCs/>
        </w:rPr>
        <w:t xml:space="preserve">Productivity Solutions and Services (PSS)</w:t>
      </w:r>
      <w:r>
        <w:t xml:space="preserve"> </w:t>
      </w:r>
      <w:r>
        <w:t xml:space="preserve">to Brady Corporation — both expected to close in the second half of 2026 — further narrowing the automation portfolio to three core segments.</w:t>
      </w:r>
    </w:p>
    <w:p>
      <w:pPr>
        <w:pStyle w:val="BodyText"/>
      </w:pPr>
      <w:r>
        <w:rPr>
          <w:b/>
          <w:bCs/>
        </w:rPr>
        <w:t xml:space="preserve">Investor Day (June 11) laid out the new financial framework.</w:t>
      </w:r>
      <w:r>
        <w:t xml:space="preserve"> </w:t>
      </w:r>
      <w:r>
        <w:t xml:space="preserve">CEO Vimal Kapur and CFO Mike Stepniak presented Honeywell Technologies as a ~$17–20 billion pure-play automation business built on a "grow, mine, and refresh" installed-base model across Building, Industrial, and Process Automation. Key targets: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4–6% organic growth annually</w:t>
      </w:r>
      <w:r>
        <w:t xml:space="preserve">, split roughly between mid-single-digit core growth and outsized growth in four targeted verticals (data centers/AI, energy/LNG/grid, life sciences, hospitality)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Segment margin</w:t>
      </w:r>
      <w:r>
        <w:t xml:space="preserve"> </w:t>
      </w:r>
      <w:r>
        <w:t xml:space="preserve">starting around 20% in 2026, expanding via ~200 bps of structural stranded-cost removal over the next 12 months plus ~60 bps/year of organic expansion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10%+ adjusted EPS growth</w:t>
      </w:r>
      <w:r>
        <w:t xml:space="preserve"> </w:t>
      </w:r>
      <w:r>
        <w:t xml:space="preserve">annually through 2029, front-loaded rather than back-end loaded</w:t>
      </w:r>
    </w:p>
    <w:p>
      <w:pPr>
        <w:pStyle w:val="Compact"/>
        <w:numPr>
          <w:ilvl w:val="0"/>
          <w:numId w:val="1001"/>
        </w:numPr>
      </w:pPr>
      <w:r>
        <w:t xml:space="preserve">Services/software mix rising from ~40% to ~45% of revenue, software annual recurring revenue (~$900M base) growing roughly 15%/year</w:t>
      </w:r>
    </w:p>
    <w:p>
      <w:pPr>
        <w:pStyle w:val="Compact"/>
        <w:numPr>
          <w:ilvl w:val="0"/>
          <w:numId w:val="1001"/>
        </w:numPr>
      </w:pPr>
      <w:r>
        <w:t xml:space="preserve">Capital allocation skewed toward debt paydown (leverage below 3x by year-end) before resuming disciplined bolt-on M&amp;A ($2–4B deal size) and buybacks (~1% share count reduction/year, ~35% dividend payout ratio)</w:t>
      </w:r>
    </w:p>
    <w:p>
      <w:pPr>
        <w:pStyle w:val="Compact"/>
        <w:numPr>
          <w:ilvl w:val="0"/>
          <w:numId w:val="1001"/>
        </w:numPr>
      </w:pPr>
      <w:r>
        <w:t xml:space="preserve">Management flagged remaining stranded costs of only ~$290 million left to remove, with $200M already actioned</w:t>
      </w:r>
    </w:p>
    <w:bookmarkEnd w:id="11"/>
    <w:bookmarkStart w:id="12" w:name="segment-watch-items-for-tomorrow"/>
    <w:p>
      <w:pPr>
        <w:pStyle w:val="Heading2"/>
      </w:pPr>
      <w:r>
        <w:t xml:space="preserve">Segment Watch-Items for Tomorrow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Building Automation</w:t>
      </w:r>
      <w:r>
        <w:t xml:space="preserve"> </w:t>
      </w:r>
      <w:r>
        <w:t xml:space="preserve">— the standout performer, delivering high-single-digit organic growth for roughly six consecutive quarters on strength in fire/life-safety, security/access, and data-center exposure (now above 5% of segment sales). Watch for continued share gains and progress toward the 29% margin target (from 26.5% in 2025).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Industrial Automation</w:t>
      </w:r>
      <w:r>
        <w:t xml:space="preserve"> </w:t>
      </w:r>
      <w:r>
        <w:t xml:space="preserve">— positioned as a "turnaround" sensing-and-measurement story after several years of revenue decline (-4% CAGR) and poor on-time delivery (45%). Management guided to mid-single-digit growth and 500 bps of margin expansion over three years, with 100 bps expected in the next 12 months alone. This quarter is an early proof point.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Process Automation and Technology</w:t>
      </w:r>
      <w:r>
        <w:t xml:space="preserve"> </w:t>
      </w:r>
      <w:r>
        <w:t xml:space="preserve">— the segment most exposed to the Middle East conflict, with Q1 aftermarket sales down 10% organically on delayed catalyst reloads and service disruptions. Management has repeatedly emphasized a strong order backlog (book-to-bill above 1.2x in recent quarters) and pent-up demand supporting a</w:t>
      </w:r>
      <w:r>
        <w:t xml:space="preserve"> </w:t>
      </w:r>
      <w:r>
        <w:rPr>
          <w:b/>
          <w:bCs/>
        </w:rPr>
        <w:t xml:space="preserve">second-half growth inflection to high-single digits</w:t>
      </w:r>
      <w:r>
        <w:t xml:space="preserve">. This is arguably the single biggest swing factor for the quarter and for credibility of the full-year guide — investors should listen closely for confirmation that the ramp is on track, particularly around LNG project conversion and catalyst/refining demand given elevated oil prices.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Johnson Matthey Catalyst Technologies acquisition</w:t>
      </w:r>
      <w:r>
        <w:t xml:space="preserve"> </w:t>
      </w:r>
      <w:r>
        <w:t xml:space="preserve">— the amended deal (with extended timeline) was expected to close by the end of July; confirmation of closing and near-term margin dilution/accretion dynamics will be relevant.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Quantinuum deconsolidation</w:t>
      </w:r>
      <w:r>
        <w:t xml:space="preserve"> </w:t>
      </w:r>
      <w:r>
        <w:t xml:space="preserve">— following Quantinuum's IPO (completed just before Investor Day, with the stock reportedly up ~60% since launch), Honeywell now holds a ~47% stake accounted for differently; the company said this would show up starting in Q2 financials without changing full-year guidance.</w:t>
      </w:r>
    </w:p>
    <w:bookmarkEnd w:id="12"/>
    <w:bookmarkStart w:id="13" w:name="cash-balance-sheet-and-capital-return"/>
    <w:p>
      <w:pPr>
        <w:pStyle w:val="Heading2"/>
      </w:pPr>
      <w:r>
        <w:t xml:space="preserve">Cash, Balance Sheet, and Capital Return</w:t>
      </w:r>
    </w:p>
    <w:p>
      <w:pPr>
        <w:pStyle w:val="FirstParagraph"/>
      </w:pPr>
      <w:r>
        <w:t xml:space="preserve">Free cash flow was a sore spot in Q1 (just</w:t>
      </w:r>
      <w:r>
        <w:t xml:space="preserve"> </w:t>
      </w:r>
      <m:oMath>
        <m:r>
          <m:t>56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)</m:t>
        </m:r>
        <m:r>
          <m:t>d</m:t>
        </m:r>
        <m:r>
          <m:t>u</m:t>
        </m:r>
        <m:r>
          <m:t>e</m:t>
        </m:r>
        <m:r>
          <m:t>t</m:t>
        </m:r>
        <m:r>
          <m:t>o</m:t>
        </m:r>
        <m:r>
          <m:t>s</m:t>
        </m:r>
        <m:r>
          <m:t>p</m:t>
        </m:r>
        <m:r>
          <m:t>i</m:t>
        </m:r>
        <m:r>
          <m:t>n</m:t>
        </m:r>
        <m:r>
          <m:rPr>
            <m:sty m:val="p"/>
          </m:rPr>
          <m:t>/</m:t>
        </m:r>
        <m:r>
          <m:t>s</m:t>
        </m:r>
        <m:r>
          <m:t>e</m:t>
        </m:r>
        <m:r>
          <m:t>p</m:t>
        </m:r>
        <m:r>
          <m:t>a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p</m:t>
        </m:r>
        <m:r>
          <m:t>a</m:t>
        </m:r>
        <m:r>
          <m:t>y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rPr>
            <m:sty m:val="p"/>
          </m:rPr>
          <m:t>,</m:t>
        </m:r>
        <m:r>
          <m:t>F</m:t>
        </m:r>
        <m:r>
          <m:t>l</m:t>
        </m:r>
        <m:r>
          <m:t>e</m:t>
        </m:r>
        <m:r>
          <m:t>x</m:t>
        </m:r>
        <m:r>
          <m:t>j</m:t>
        </m:r>
        <m:r>
          <m:t>e</m:t>
        </m:r>
        <m:r>
          <m:t>t</m:t>
        </m:r>
        <m:r>
          <m:t>l</m:t>
        </m:r>
        <m:r>
          <m:t>i</m:t>
        </m:r>
        <m:r>
          <m:t>t</m:t>
        </m:r>
        <m:r>
          <m:t>i</m:t>
        </m:r>
        <m:r>
          <m:t>g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e</m:t>
        </m:r>
        <m:r>
          <m:t>t</m:t>
        </m:r>
        <m:r>
          <m:t>t</m:t>
        </m:r>
        <m:r>
          <m:t>l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M</m:t>
        </m:r>
        <m:r>
          <m:t>i</m:t>
        </m:r>
        <m:r>
          <m:t>d</m:t>
        </m:r>
        <m:r>
          <m:t>d</m:t>
        </m:r>
        <m:r>
          <m:t>l</m:t>
        </m:r>
        <m:r>
          <m:t>e</m:t>
        </m:r>
        <m:r>
          <m:t>E</m:t>
        </m:r>
        <m:r>
          <m:t>a</m:t>
        </m:r>
        <m:r>
          <m:t>s</m:t>
        </m:r>
        <m:r>
          <m:t>t</m:t>
        </m:r>
        <m:r>
          <m:t>c</m:t>
        </m:r>
        <m:r>
          <m:t>o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t>i</m:t>
        </m:r>
        <m:r>
          <m:t>o</m:t>
        </m:r>
        <m:r>
          <m:t>n</m:t>
        </m:r>
        <m:r>
          <m:t>d</m:t>
        </m:r>
        <m:r>
          <m:t>e</m:t>
        </m:r>
        <m:r>
          <m:t>l</m:t>
        </m:r>
        <m:r>
          <m:t>a</m:t>
        </m:r>
        <m:r>
          <m:t>y</m:t>
        </m:r>
        <m:r>
          <m:t>s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80</m:t>
        </m:r>
      </m:oMath>
      <w:r>
        <w:t xml:space="preserve">20 billion of spin-related financing in March and used proceeds to redeem Honeywell debt, and reducing leverage below 3x is an explicit 2026 goal before M&amp;A optionality reopens.</w:t>
      </w:r>
    </w:p>
    <w:bookmarkEnd w:id="13"/>
    <w:bookmarkStart w:id="14" w:name="why-the-stock-chart-looks-broken"/>
    <w:p>
      <w:pPr>
        <w:pStyle w:val="Heading2"/>
      </w:pPr>
      <w:r>
        <w:t xml:space="preserve">Why the Stock Chart Looks Broken</w:t>
      </w:r>
    </w:p>
    <w:p>
      <w:pPr>
        <w:pStyle w:val="FirstParagraph"/>
      </w:pPr>
      <w:r>
        <w:t xml:space="preserve">HON shares traded above $460 in late June before collapsing to the</w:t>
      </w:r>
      <w:r>
        <w:t xml:space="preserve"> </w:t>
      </w:r>
      <m:oMath>
        <m:r>
          <m:t>220</m:t>
        </m:r>
        <m:r>
          <m:t>s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J</m:t>
        </m:r>
        <m:r>
          <m:t>u</m:t>
        </m:r>
        <m:r>
          <m:t>n</m:t>
        </m:r>
        <m:r>
          <m:t>e</m:t>
        </m:r>
        <m:r>
          <m:t>29</m:t>
        </m:r>
        <m:r>
          <m:t>s</m:t>
        </m:r>
        <m:r>
          <m:t>p</m:t>
        </m:r>
        <m:r>
          <m:t>i</m:t>
        </m:r>
        <m:r>
          <m:t>n</m:t>
        </m:r>
        <m:r>
          <m:rPr>
            <m:sty m:val="p"/>
          </m:rPr>
          <m:t>−</m:t>
        </m:r>
        <m:r>
          <m:t>o</m:t>
        </m:r>
        <m:r>
          <m:t>f</m:t>
        </m:r>
        <m:r>
          <m:t>f</m:t>
        </m:r>
        <m:r>
          <m:rPr>
            <m:sty m:val="p"/>
          </m:rPr>
          <m:t>(</m:t>
        </m:r>
        <m:r>
          <m:t>A</m:t>
        </m:r>
        <m:r>
          <m:t>e</m:t>
        </m:r>
        <m:r>
          <m:t>r</m:t>
        </m:r>
        <m:r>
          <m:t>o</m:t>
        </m:r>
        <m:r>
          <m:t>s</m:t>
        </m:r>
        <m:r>
          <m:t>p</m:t>
        </m:r>
        <m:r>
          <m:t>a</m:t>
        </m:r>
        <m:r>
          <m:t>c</m:t>
        </m:r>
        <m:r>
          <m:t>e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t>m</m:t>
        </m:r>
        <m:r>
          <m:t>o</m:t>
        </m:r>
        <m:r>
          <m:t>v</m:t>
        </m:r>
        <m:r>
          <m:t>e</m:t>
        </m:r>
        <m:r>
          <m:t>d</m:t>
        </m:r>
        <m:r>
          <m:t>t</m:t>
        </m:r>
        <m:r>
          <m:t>o</m:t>
        </m:r>
        <m:r>
          <m:t>H</m:t>
        </m:r>
        <m:r>
          <m:t>O</m:t>
        </m:r>
        <m:r>
          <m:t>N</m:t>
        </m:r>
        <m:r>
          <m:t>A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h</m:t>
        </m:r>
        <m:r>
          <m:t>a</m:t>
        </m:r>
        <m:r>
          <m:t>v</m:t>
        </m:r>
        <m:r>
          <m:t>e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d</m:t>
        </m:r>
        <m:r>
          <m:t>r</m:t>
        </m:r>
        <m:r>
          <m:t>i</m:t>
        </m:r>
        <m:r>
          <m:t>f</m:t>
        </m:r>
        <m:r>
          <m:t>t</m:t>
        </m:r>
        <m:r>
          <m:t>e</m:t>
        </m:r>
        <m:r>
          <m:t>d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l</m:t>
        </m:r>
        <m:r>
          <m:t>o</m:t>
        </m:r>
        <m:r>
          <m:t>w</m:t>
        </m:r>
        <m:r>
          <m:rPr>
            <m:sty m:val="p"/>
          </m:rPr>
          <m:t>−</m:t>
        </m:r>
      </m:oMath>
      <w:r>
        <w:t xml:space="preserve">220s to high-$220s, closing around $233 on July 21. This is a mechanical repricing from the spin and reverse split, not a fundamental decline — but it does mean historical valuation multiples, price targets, and technical levels tied to the old, combined-company ticker are no longer comparable.</w:t>
      </w:r>
    </w:p>
    <w:bookmarkEnd w:id="14"/>
    <w:bookmarkStart w:id="15" w:name="key-questions-for-management-on-the-call"/>
    <w:p>
      <w:pPr>
        <w:pStyle w:val="Heading2"/>
      </w:pPr>
      <w:r>
        <w:t xml:space="preserve">Key Questions for Management on the Call</w:t>
      </w:r>
    </w:p>
    <w:p>
      <w:pPr>
        <w:pStyle w:val="Compact"/>
        <w:numPr>
          <w:ilvl w:val="0"/>
          <w:numId w:val="1003"/>
        </w:numPr>
      </w:pPr>
      <w:r>
        <w:t xml:space="preserve">Is the</w:t>
      </w:r>
      <w:r>
        <w:t xml:space="preserve"> </w:t>
      </w:r>
      <w:r>
        <w:rPr>
          <w:b/>
          <w:bCs/>
        </w:rPr>
        <w:t xml:space="preserve">Process Automation and Technology second-half ramp</w:t>
      </w:r>
      <w:r>
        <w:t xml:space="preserve"> </w:t>
      </w:r>
      <w:r>
        <w:t xml:space="preserve">(high-single-digit growth) still on track given the Middle East backdrop, and how is the pent-up refinery/rebuild demand progressing?</w:t>
      </w:r>
    </w:p>
    <w:p>
      <w:pPr>
        <w:pStyle w:val="Compact"/>
        <w:numPr>
          <w:ilvl w:val="0"/>
          <w:numId w:val="1003"/>
        </w:numPr>
      </w:pPr>
      <w:r>
        <w:t xml:space="preserve">What is the</w:t>
      </w:r>
      <w:r>
        <w:t xml:space="preserve"> </w:t>
      </w:r>
      <w:r>
        <w:rPr>
          <w:b/>
          <w:bCs/>
        </w:rPr>
        <w:t xml:space="preserve">organic growth and margin trajectory in Industrial Automation</w:t>
      </w:r>
      <w:r>
        <w:t xml:space="preserve"> </w:t>
      </w:r>
      <w:r>
        <w:t xml:space="preserve">now that WWS and PSS divestitures are largely behind it — is the "turnaround" visible yet in orders and on-time delivery metrics?</w:t>
      </w:r>
    </w:p>
    <w:p>
      <w:pPr>
        <w:pStyle w:val="Compact"/>
        <w:numPr>
          <w:ilvl w:val="0"/>
          <w:numId w:val="1003"/>
        </w:numPr>
      </w:pPr>
      <w:r>
        <w:t xml:space="preserve">How much of the</w:t>
      </w:r>
      <w:r>
        <w:t xml:space="preserve"> </w:t>
      </w:r>
      <w:r>
        <w:rPr>
          <w:b/>
          <w:bCs/>
        </w:rPr>
        <w:t xml:space="preserve">raised H2/FY26 guidance</w:t>
      </w:r>
      <w:r>
        <w:t xml:space="preserve"> </w:t>
      </w:r>
      <w:r>
        <w:t xml:space="preserve">reflects real operating momentum versus mechanical effects of the reverse split and portfolio changes?</w:t>
      </w:r>
    </w:p>
    <w:p>
      <w:pPr>
        <w:pStyle w:val="Compact"/>
        <w:numPr>
          <w:ilvl w:val="0"/>
          <w:numId w:val="1003"/>
        </w:numPr>
      </w:pPr>
      <w:r>
        <w:t xml:space="preserve">Update on</w:t>
      </w:r>
      <w:r>
        <w:t xml:space="preserve"> </w:t>
      </w:r>
      <w:r>
        <w:rPr>
          <w:b/>
          <w:bCs/>
        </w:rPr>
        <w:t xml:space="preserve">stranded-cost removal</w:t>
      </w:r>
      <w:r>
        <w:t xml:space="preserve"> </w:t>
      </w:r>
      <w:r>
        <w:t xml:space="preserve">pace and confirmation of the ~$290 million remaining, plus early color on the</w:t>
      </w:r>
      <w:r>
        <w:t xml:space="preserve"> </w:t>
      </w:r>
      <w:r>
        <w:rPr>
          <w:b/>
          <w:bCs/>
        </w:rPr>
        <w:t xml:space="preserve">Johnson Matthey</w:t>
      </w:r>
      <w:r>
        <w:t xml:space="preserve"> </w:t>
      </w:r>
      <w:r>
        <w:t xml:space="preserve">deal closing.</w:t>
      </w:r>
    </w:p>
    <w:p>
      <w:pPr>
        <w:pStyle w:val="Compact"/>
        <w:numPr>
          <w:ilvl w:val="0"/>
          <w:numId w:val="1003"/>
        </w:numPr>
      </w:pPr>
      <w:r>
        <w:t xml:space="preserve">Progress on</w:t>
      </w:r>
      <w:r>
        <w:t xml:space="preserve"> </w:t>
      </w:r>
      <w:r>
        <w:rPr>
          <w:b/>
          <w:bCs/>
        </w:rPr>
        <w:t xml:space="preserve">deleveraging</w:t>
      </w:r>
      <w:r>
        <w:t xml:space="preserve"> </w:t>
      </w:r>
      <w:r>
        <w:t xml:space="preserve">toward the sub-3x target and capital allocation priorities once debt paydown is substantially complete.</w:t>
      </w:r>
    </w:p>
    <w:p>
      <w:pPr>
        <w:pStyle w:val="Compact"/>
        <w:numPr>
          <w:ilvl w:val="0"/>
          <w:numId w:val="1003"/>
        </w:numPr>
      </w:pPr>
      <w:r>
        <w:t xml:space="preserve">Any incremental detail on the</w:t>
      </w:r>
      <w:r>
        <w:t xml:space="preserve"> </w:t>
      </w:r>
      <w:r>
        <w:rPr>
          <w:b/>
          <w:bCs/>
        </w:rPr>
        <w:t xml:space="preserve">WWS/PSS divestiture closings</w:t>
      </w:r>
      <w:r>
        <w:t xml:space="preserve">, expected in H2 2026.</w:t>
      </w:r>
    </w:p>
    <w:bookmarkEnd w:id="15"/>
    <w:bookmarkStart w:id="1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Tomorrow's report is less a traditional "beat/miss" event and more a</w:t>
      </w:r>
      <w:r>
        <w:t xml:space="preserve"> </w:t>
      </w:r>
      <w:r>
        <w:rPr>
          <w:b/>
          <w:bCs/>
        </w:rPr>
        <w:t xml:space="preserve">credibility check</w:t>
      </w:r>
      <w:r>
        <w:t xml:space="preserve"> </w:t>
      </w:r>
      <w:r>
        <w:t xml:space="preserve">on Honeywell Technologies' first quarter as a standalone automation pure-play. The headline y/y numbers will look ugly due to the Aerospace spin, but the real questions investors need answered are: (1) is Building Automation's high-single-digit growth streak intact, (2) is Industrial Automation's turnaround showing up in the numbers, (3) is the promised second-half inflection in Process Automation and Technology credible given Middle East disruptions, and (4) is the stranded-cost/margin-expansion algorithm tracking to the 200+60 bps framework laid out at Investor Day. Given management's freshly raised guidance just two weeks ago, expectations are already elevated — making the segment-level detail behind the headline number the most important part of tomorrow's release.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2026-07-23T00:10:31Z</dcterms:created>
  <dcterms:modified xsi:type="dcterms:W3CDTF">2026-07-23T00:10:31Z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