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3d9e21d3c6420dd846af7206db5a4c639f7e94c"/>
    <w:p>
      <w:pPr>
        <w:pStyle w:val="Heading1"/>
      </w:pPr>
      <w:r>
        <w:t xml:space="preserve">Honeywell Technologies (HON) 2026 Q2 Earnings Preview</w:t>
      </w:r>
    </w:p>
    <w:p>
      <w:pPr>
        <w:pStyle w:val="FirstParagraph"/>
      </w:pPr>
      <w:r>
        <w:rPr>
          <w:b/>
          <w:bCs/>
        </w:rPr>
        <w:t xml:space="preserve">Report date:</w:t>
      </w:r>
      <w:r>
        <w:t xml:space="preserve"> </w:t>
      </w:r>
      <w:r>
        <w:t xml:space="preserve">July 23, 2026</w:t>
      </w:r>
      <w:r>
        <w:br/>
      </w:r>
      <w:r>
        <w:rPr>
          <w:b/>
          <w:bCs/>
        </w:rPr>
        <w:t xml:space="preserve">Event:</w:t>
      </w:r>
      <w:r>
        <w:t xml:space="preserve"> </w:t>
      </w:r>
      <w:r>
        <w:t xml:space="preserve">2026 Q2 earnings call</w:t>
      </w:r>
      <w:r>
        <w:br/>
      </w:r>
      <w:r>
        <w:rPr>
          <w:b/>
          <w:bCs/>
        </w:rPr>
        <w:t xml:space="preserve">Central question:</w:t>
      </w:r>
      <w:r>
        <w:t xml:space="preserve"> </w:t>
      </w:r>
      <w:r>
        <w:t xml:space="preserve">Can the newly independent automation company validate its second-half growth and margin framework immediately after the Honeywell Aerospace separation?</w:t>
      </w:r>
    </w:p>
    <w:bookmarkStart w:id="9" w:name="investment-view-going-into-the-report"/>
    <w:p>
      <w:pPr>
        <w:pStyle w:val="Heading2"/>
      </w:pPr>
      <w:r>
        <w:t xml:space="preserve">Investment view going into the report</w:t>
      </w:r>
    </w:p>
    <w:p>
      <w:pPr>
        <w:pStyle w:val="FirstParagraph"/>
      </w:pPr>
      <w:r>
        <w:t xml:space="preserve">This is less a conventional quarterly earnings report than the</w:t>
      </w:r>
      <w:r>
        <w:t xml:space="preserve"> </w:t>
      </w:r>
      <w:r>
        <w:rPr>
          <w:b/>
          <w:bCs/>
        </w:rPr>
        <w:t xml:space="preserve">first major credibility test for Honeywell Technologies as a stand-alone automation company</w:t>
      </w:r>
      <w:r>
        <w:t xml:space="preserve">.</w:t>
      </w:r>
    </w:p>
    <w:p>
      <w:pPr>
        <w:pStyle w:val="BodyText"/>
      </w:pPr>
      <w:r>
        <w:t xml:space="preserve">The second quarter itself is likely to be mixed:</w:t>
      </w:r>
    </w:p>
    <w:p>
      <w:pPr>
        <w:pStyle w:val="Compact"/>
        <w:numPr>
          <w:ilvl w:val="0"/>
          <w:numId w:val="1001"/>
        </w:numPr>
      </w:pPr>
      <w:r>
        <w:t xml:space="preserve">Building Automation should remain strong.</w:t>
      </w:r>
    </w:p>
    <w:p>
      <w:pPr>
        <w:pStyle w:val="Compact"/>
        <w:numPr>
          <w:ilvl w:val="0"/>
          <w:numId w:val="1001"/>
        </w:numPr>
      </w:pPr>
      <w:r>
        <w:t xml:space="preserve">Industrial Automation appears to be improving.</w:t>
      </w:r>
    </w:p>
    <w:p>
      <w:pPr>
        <w:pStyle w:val="Compact"/>
        <w:numPr>
          <w:ilvl w:val="0"/>
          <w:numId w:val="1001"/>
        </w:numPr>
      </w:pPr>
      <w:r>
        <w:t xml:space="preserve">Process Automation and Technology likely remained pressured by Middle East disruptions and weak catalyst shipment timing.</w:t>
      </w:r>
    </w:p>
    <w:p>
      <w:pPr>
        <w:pStyle w:val="Compact"/>
        <w:numPr>
          <w:ilvl w:val="0"/>
          <w:numId w:val="1001"/>
        </w:numPr>
      </w:pPr>
      <w:r>
        <w:t xml:space="preserve">Reported results will contain considerable noise from the Aerospace spin-off, Quantinuum deconsolidation, reverse stock split and separation expenses.</w:t>
      </w:r>
    </w:p>
    <w:p>
      <w:pPr>
        <w:pStyle w:val="FirstParagraph"/>
      </w:pPr>
      <w:r>
        <w:t xml:space="preserve">Consequently, the stock reaction should depend primarily on whether management:</w:t>
      </w:r>
    </w:p>
    <w:p>
      <w:pPr>
        <w:pStyle w:val="Compact"/>
        <w:numPr>
          <w:ilvl w:val="0"/>
          <w:numId w:val="1002"/>
        </w:numPr>
      </w:pPr>
      <w:r>
        <w:t xml:space="preserve">Reaffirms or improves its second-half guidance.</w:t>
      </w:r>
    </w:p>
    <w:p>
      <w:pPr>
        <w:pStyle w:val="Compact"/>
        <w:numPr>
          <w:ilvl w:val="0"/>
          <w:numId w:val="1002"/>
        </w:numPr>
      </w:pPr>
      <w:r>
        <w:t xml:space="preserve">Confirms that Process Automation and Technology will accelerate sharply in Q3 and Q4.</w:t>
      </w:r>
    </w:p>
    <w:p>
      <w:pPr>
        <w:pStyle w:val="Compact"/>
        <w:numPr>
          <w:ilvl w:val="0"/>
          <w:numId w:val="1002"/>
        </w:numPr>
      </w:pPr>
      <w:r>
        <w:t xml:space="preserve">Demonstrates that margin expansion and stranded-cost removal are on schedule.</w:t>
      </w:r>
    </w:p>
    <w:p>
      <w:pPr>
        <w:pStyle w:val="Compact"/>
        <w:numPr>
          <w:ilvl w:val="0"/>
          <w:numId w:val="1002"/>
        </w:numPr>
      </w:pPr>
      <w:r>
        <w:t xml:space="preserve">Provides a clean bridge between Q2 results and the new Honeywell Technologies reporting framework.</w:t>
      </w:r>
    </w:p>
    <w:p>
      <w:pPr>
        <w:pStyle w:val="FirstParagraph"/>
      </w:pPr>
      <w:r>
        <w:t xml:space="preserve">The current valuation already prices in a meaningful portion of the Investor Day plan, so a merely acceptable quarter accompanied by softer second-half commentary could disappoint.</w:t>
      </w:r>
    </w:p>
    <w:p>
      <w:r>
        <w:pict>
          <v:rect style="width:0;height:1.5pt" o:hralign="center" o:hrstd="t" o:hr="t"/>
        </w:pict>
      </w:r>
    </w:p>
    <w:bookmarkEnd w:id="9"/>
    <w:bookmarkStart w:id="12" w:name="the-numbers-investors-should-use"/>
    <w:p>
      <w:pPr>
        <w:pStyle w:val="Heading2"/>
      </w:pPr>
      <w:r>
        <w:t xml:space="preserve">The numbers investors should use</w:t>
      </w:r>
    </w:p>
    <w:p>
      <w:pPr>
        <w:pStyle w:val="FirstParagraph"/>
      </w:pPr>
      <w:r>
        <w:t xml:space="preserve">Honeywell’s previously issued Q2 guidance was based on the former consolidated company and is no longer the cleanest benchmark. The June Investor Day and July guidance update provide a better framework for evaluating continuing Honeywell Technologies.</w:t>
      </w:r>
    </w:p>
    <w:bookmarkStart w:id="10" w:name="current-company-guidance"/>
    <w:p>
      <w:pPr>
        <w:pStyle w:val="Heading3"/>
      </w:pPr>
      <w:r>
        <w:t xml:space="preserve">Current company guidance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FY 2026</w:t>
            </w:r>
          </w:p>
        </w:tc>
        <w:tc>
          <w:tcPr/>
          <w:p>
            <w:pPr>
              <w:pStyle w:val="Compact"/>
              <w:jc w:val="right"/>
            </w:pPr>
            <w:r>
              <w:t xml:space="preserve">Second half 2026</w:t>
            </w:r>
          </w:p>
        </w:tc>
      </w:tr>
      <w:tr>
        <w:tc>
          <w:tcPr/>
          <w:p>
            <w:pPr>
              <w:pStyle w:val="Compact"/>
            </w:pPr>
            <w:r>
              <w:t xml:space="preserve">Sales</w:t>
            </w:r>
          </w:p>
        </w:tc>
        <w:tc>
          <w:tcPr/>
          <w:p>
            <w:pPr>
              <w:pStyle w:val="Compact"/>
              <w:jc w:val="right"/>
            </w:pPr>
            <m:oMath>
              <m:r>
                <m:t>19.9</m:t>
              </m:r>
              <m:r>
                <m:t>B</m:t>
              </m:r>
              <m:r>
                <m:rPr>
                  <m:sty m:val="p"/>
                </m:rPr>
                <m:t>−</m:t>
              </m:r>
            </m:oMath>
            <w:r>
              <w:t xml:space="preserve">20.2B</w:t>
            </w:r>
          </w:p>
        </w:tc>
        <w:tc>
          <w:tcPr/>
          <w:p>
            <w:pPr>
              <w:pStyle w:val="Compact"/>
              <w:jc w:val="right"/>
            </w:pPr>
            <m:oMath>
              <m:r>
                <m:t>10.1</m:t>
              </m:r>
              <m:r>
                <m:t>B</m:t>
              </m:r>
              <m:r>
                <m:rPr>
                  <m:sty m:val="p"/>
                </m:rPr>
                <m:t>−</m:t>
              </m:r>
            </m:oMath>
            <w:r>
              <w:t xml:space="preserve">10.3B</w:t>
            </w:r>
          </w:p>
        </w:tc>
      </w:tr>
      <w:tr>
        <w:tc>
          <w:tcPr/>
          <w:p>
            <w:pPr>
              <w:pStyle w:val="Compact"/>
            </w:pPr>
            <w:r>
              <w:t xml:space="preserve">Organic growth</w:t>
            </w:r>
          </w:p>
        </w:tc>
        <w:tc>
          <w:tcPr/>
          <w:p>
            <w:pPr>
              <w:pStyle w:val="Compact"/>
              <w:jc w:val="right"/>
            </w:pPr>
            <w:r>
              <w:t xml:space="preserve">2%-3%</w:t>
            </w:r>
          </w:p>
        </w:tc>
        <w:tc>
          <w:tcPr/>
          <w:p>
            <w:pPr>
              <w:pStyle w:val="Compact"/>
              <w:jc w:val="right"/>
            </w:pPr>
            <w:r>
              <w:t xml:space="preserve">3%-5%</w:t>
            </w:r>
          </w:p>
        </w:tc>
      </w:tr>
      <w:tr>
        <w:tc>
          <w:tcPr/>
          <w:p>
            <w:pPr>
              <w:pStyle w:val="Compact"/>
            </w:pPr>
            <w:r>
              <w:t xml:space="preserve">Segment margin</w:t>
            </w:r>
          </w:p>
        </w:tc>
        <w:tc>
          <w:tcPr/>
          <w:p>
            <w:pPr>
              <w:pStyle w:val="Compact"/>
              <w:jc w:val="right"/>
            </w:pPr>
            <w:r>
              <w:t xml:space="preserve">19.8%-20.3%</w:t>
            </w:r>
          </w:p>
        </w:tc>
        <w:tc>
          <w:tcPr/>
          <w:p>
            <w:pPr>
              <w:pStyle w:val="Compact"/>
              <w:jc w:val="right"/>
            </w:pPr>
            <w:r>
              <w:t xml:space="preserve">20.9%-21.6%</w:t>
            </w:r>
          </w:p>
        </w:tc>
      </w:tr>
      <w:tr>
        <w:tc>
          <w:tcPr/>
          <w:p>
            <w:pPr>
              <w:pStyle w:val="Compact"/>
            </w:pPr>
            <w:r>
              <w:t xml:space="preserve">Adjusted EPS, post-reverse split</w:t>
            </w:r>
          </w:p>
        </w:tc>
        <w:tc>
          <w:tcPr/>
          <w:p>
            <w:pPr>
              <w:pStyle w:val="Compact"/>
              <w:jc w:val="right"/>
            </w:pPr>
            <m:oMath>
              <m:r>
                <m:t>7.90</m:t>
              </m:r>
              <m:r>
                <m:rPr>
                  <m:sty m:val="p"/>
                </m:rPr>
                <m:t>−</m:t>
              </m:r>
            </m:oMath>
            <w:r>
              <w:t xml:space="preserve">8.30</w:t>
            </w:r>
          </w:p>
        </w:tc>
        <w:tc>
          <w:tcPr/>
          <w:p>
            <w:pPr>
              <w:pStyle w:val="Compact"/>
              <w:jc w:val="right"/>
            </w:pPr>
            <m:oMath>
              <m:r>
                <m:t>4.40</m:t>
              </m:r>
              <m:r>
                <m:rPr>
                  <m:sty m:val="p"/>
                </m:rPr>
                <m:t>−</m:t>
              </m:r>
            </m:oMath>
            <w:r>
              <w:t xml:space="preserve">4.70</w:t>
            </w:r>
          </w:p>
        </w:tc>
      </w:tr>
      <w:tr>
        <w:tc>
          <w:tcPr/>
          <w:p>
            <w:pPr>
              <w:pStyle w:val="Compact"/>
            </w:pPr>
            <w:r>
              <w:t xml:space="preserve">Operating cash flow</w:t>
            </w:r>
          </w:p>
        </w:tc>
        <w:tc>
          <w:tcPr/>
          <w:p>
            <w:pPr>
              <w:pStyle w:val="Compact"/>
              <w:jc w:val="right"/>
            </w:pPr>
            <w:r>
              <w:t xml:space="preserve">Approximately $2.1B</w:t>
            </w:r>
          </w:p>
        </w:tc>
        <w:tc>
          <w:tcPr/>
          <w:p>
            <w:pPr>
              <w:pStyle w:val="Compact"/>
              <w:jc w:val="right"/>
            </w:pPr>
            <w:r>
              <w:t xml:space="preserve">Approximately $1.7B</w:t>
            </w:r>
          </w:p>
        </w:tc>
      </w:tr>
      <w:tr>
        <w:tc>
          <w:tcPr/>
          <w:p>
            <w:pPr>
              <w:pStyle w:val="Compact"/>
            </w:pPr>
            <w:r>
              <w:t xml:space="preserve">Free cash flow</w:t>
            </w:r>
          </w:p>
        </w:tc>
        <w:tc>
          <w:tcPr/>
          <w:p>
            <w:pPr>
              <w:pStyle w:val="Compact"/>
              <w:jc w:val="right"/>
            </w:pPr>
            <w:r>
              <w:t xml:space="preserve">Approximately $2.0B</w:t>
            </w:r>
          </w:p>
        </w:tc>
        <w:tc>
          <w:tcPr/>
          <w:p>
            <w:pPr>
              <w:pStyle w:val="Compact"/>
              <w:jc w:val="right"/>
            </w:pPr>
            <w:r>
              <w:t xml:space="preserve">Approximately $1.5B</w:t>
            </w:r>
          </w:p>
        </w:tc>
      </w:tr>
    </w:tbl>
    <w:bookmarkEnd w:id="10"/>
    <w:bookmarkStart w:id="11" w:name="implied-first-half-and-q2-benchmarks"/>
    <w:p>
      <w:pPr>
        <w:pStyle w:val="Heading3"/>
      </w:pPr>
      <w:r>
        <w:t xml:space="preserve">Implied first-half and Q2 benchmarks</w:t>
      </w:r>
    </w:p>
    <w:p>
      <w:pPr>
        <w:pStyle w:val="FirstParagraph"/>
      </w:pPr>
      <w:r>
        <w:t xml:space="preserve">The full-year and second-half ranges imply:</w:t>
      </w:r>
    </w:p>
    <w:p>
      <w:pPr>
        <w:pStyle w:val="Compact"/>
        <w:numPr>
          <w:ilvl w:val="0"/>
          <w:numId w:val="1003"/>
        </w:numPr>
      </w:pPr>
      <w:r>
        <w:rPr>
          <w:b/>
          <w:bCs/>
        </w:rPr>
        <w:t xml:space="preserve">First-half sales:</w:t>
      </w:r>
      <w:r>
        <w:t xml:space="preserve"> </w:t>
      </w:r>
      <w:r>
        <w:t xml:space="preserve">approximately</w:t>
      </w:r>
      <w:r>
        <w:t xml:space="preserve"> </w:t>
      </w:r>
      <m:oMath>
        <m:r>
          <m:t>9.8</m:t>
        </m:r>
        <m:r>
          <m:t>B</m:t>
        </m:r>
        <m:r>
          <m:rPr>
            <m:sty m:val="p"/>
          </m:rPr>
          <m:t>−</m:t>
        </m:r>
      </m:oMath>
      <w:r>
        <w:rPr>
          <w:b/>
          <w:bCs/>
        </w:rPr>
        <w:t xml:space="preserve">9.9B</w:t>
      </w:r>
    </w:p>
    <w:p>
      <w:pPr>
        <w:pStyle w:val="Compact"/>
        <w:numPr>
          <w:ilvl w:val="0"/>
          <w:numId w:val="1003"/>
        </w:numPr>
      </w:pPr>
      <w:r>
        <w:rPr>
          <w:b/>
          <w:bCs/>
        </w:rPr>
        <w:t xml:space="preserve">First-half adjusted EPS:</w:t>
      </w:r>
      <w:r>
        <w:t xml:space="preserve"> </w:t>
      </w:r>
      <w:r>
        <w:t xml:space="preserve">approximately</w:t>
      </w:r>
      <w:r>
        <w:t xml:space="preserve"> </w:t>
      </w:r>
      <m:oMath>
        <m:r>
          <m:t>3.50</m:t>
        </m:r>
        <m:r>
          <m:rPr>
            <m:sty m:val="p"/>
          </m:rPr>
          <m:t>−</m:t>
        </m:r>
      </m:oMath>
      <w:r>
        <w:rPr>
          <w:b/>
          <w:bCs/>
        </w:rPr>
        <w:t xml:space="preserve">3.60</w:t>
      </w:r>
      <w:r>
        <w:t xml:space="preserve">, post-split</w:t>
      </w:r>
    </w:p>
    <w:p>
      <w:pPr>
        <w:pStyle w:val="FirstParagraph"/>
      </w:pPr>
      <w:r>
        <w:t xml:space="preserve">Honeywell’s recast Q1 results showed:</w:t>
      </w:r>
    </w:p>
    <w:p>
      <w:pPr>
        <w:pStyle w:val="Compact"/>
        <w:numPr>
          <w:ilvl w:val="0"/>
          <w:numId w:val="1004"/>
        </w:numPr>
      </w:pPr>
      <w:r>
        <w:t xml:space="preserve">Segment sales of</w:t>
      </w:r>
      <w:r>
        <w:t xml:space="preserve"> </w:t>
      </w:r>
      <w:r>
        <w:rPr>
          <w:b/>
          <w:bCs/>
        </w:rPr>
        <w:t xml:space="preserve">$4.818B</w:t>
      </w:r>
    </w:p>
    <w:p>
      <w:pPr>
        <w:pStyle w:val="Compact"/>
        <w:numPr>
          <w:ilvl w:val="0"/>
          <w:numId w:val="1004"/>
        </w:numPr>
      </w:pPr>
      <w:r>
        <w:t xml:space="preserve">Continuing-operations adjusted EPS of</w:t>
      </w:r>
      <w:r>
        <w:t xml:space="preserve"> </w:t>
      </w:r>
      <m:oMath>
        <m:r>
          <m:t>0.89</m:t>
        </m:r>
        <m:r>
          <m:t>b</m:t>
        </m:r>
        <m:r>
          <m:t>e</m:t>
        </m:r>
        <m:r>
          <m:t>f</m:t>
        </m:r>
        <m:r>
          <m:t>o</m:t>
        </m:r>
        <m:r>
          <m:t>r</m:t>
        </m:r>
        <m:r>
          <m:t>e</m:t>
        </m:r>
        <m:r>
          <m:t>t</m:t>
        </m:r>
        <m:r>
          <m:t>h</m:t>
        </m:r>
        <m:r>
          <m:t>e</m:t>
        </m:r>
        <m:r>
          <m:t>r</m:t>
        </m:r>
        <m:r>
          <m:t>e</m:t>
        </m:r>
        <m:r>
          <m:t>v</m:t>
        </m:r>
        <m:r>
          <m:t>e</m:t>
        </m:r>
        <m:r>
          <m:t>r</m:t>
        </m:r>
        <m:r>
          <m:t>s</m:t>
        </m:r>
        <m:r>
          <m:t>e</m:t>
        </m:r>
        <m:r>
          <m:t>s</m:t>
        </m:r>
        <m:r>
          <m:t>p</m:t>
        </m:r>
        <m:r>
          <m:t>l</m:t>
        </m:r>
        <m:r>
          <m:t>i</m:t>
        </m:r>
        <m:r>
          <m:t>t</m:t>
        </m:r>
        <m:r>
          <m:rPr>
            <m:sty m:val="p"/>
          </m:rPr>
          <m:t>*</m:t>
        </m:r>
        <m:r>
          <m:rPr>
            <m:sty m:val="p"/>
          </m:rPr>
          <m:t>*</m:t>
        </m:r>
        <m:r>
          <m:rPr>
            <m:sty m:val="p"/>
          </m:rPr>
          <m:t>,</m:t>
        </m:r>
        <m:r>
          <m:t>e</m:t>
        </m:r>
        <m:r>
          <m:t>q</m:t>
        </m:r>
        <m:r>
          <m:t>u</m:t>
        </m:r>
        <m:r>
          <m:t>i</m:t>
        </m:r>
        <m:r>
          <m:t>v</m:t>
        </m:r>
        <m:r>
          <m:t>a</m:t>
        </m:r>
        <m:r>
          <m:t>l</m:t>
        </m:r>
        <m:r>
          <m:t>e</m:t>
        </m:r>
        <m:r>
          <m:t>n</m:t>
        </m:r>
        <m:r>
          <m:t>t</m:t>
        </m:r>
        <m:r>
          <m:t>t</m:t>
        </m:r>
        <m:r>
          <m:t>o</m:t>
        </m:r>
        <m:r>
          <m:rPr>
            <m:sty m:val="p"/>
          </m:rPr>
          <m:t>*</m:t>
        </m:r>
        <m:r>
          <m:rPr>
            <m:sty m:val="p"/>
          </m:rPr>
          <m:t>*</m:t>
        </m:r>
      </m:oMath>
      <w:r>
        <w:rPr>
          <w:b/>
          <w:bCs/>
        </w:rPr>
        <w:t xml:space="preserve">1.78 after the split</w:t>
      </w:r>
    </w:p>
    <w:p>
      <w:pPr>
        <w:pStyle w:val="FirstParagraph"/>
      </w:pPr>
      <w:r>
        <w:t xml:space="preserve">That implies a rough Q2 continuing-operations framework of:</w:t>
      </w:r>
    </w:p>
    <w:p>
      <w:pPr>
        <w:pStyle w:val="Compact"/>
        <w:numPr>
          <w:ilvl w:val="0"/>
          <w:numId w:val="1005"/>
        </w:numPr>
      </w:pPr>
      <w:r>
        <w:rPr>
          <w:b/>
          <w:bCs/>
        </w:rPr>
        <w:t xml:space="preserve">Sales:</w:t>
      </w:r>
      <w:r>
        <w:t xml:space="preserve"> </w:t>
      </w:r>
      <w:r>
        <w:t xml:space="preserve">approximately</w:t>
      </w:r>
      <w:r>
        <w:t xml:space="preserve"> </w:t>
      </w:r>
      <m:oMath>
        <m:r>
          <m:t>4.98</m:t>
        </m:r>
        <m:r>
          <m:t>B</m:t>
        </m:r>
        <m:r>
          <m:rPr>
            <m:sty m:val="p"/>
          </m:rPr>
          <m:t>−</m:t>
        </m:r>
      </m:oMath>
      <w:r>
        <w:rPr>
          <w:b/>
          <w:bCs/>
        </w:rPr>
        <w:t xml:space="preserve">5.08B</w:t>
      </w:r>
    </w:p>
    <w:p>
      <w:pPr>
        <w:pStyle w:val="Compact"/>
        <w:numPr>
          <w:ilvl w:val="0"/>
          <w:numId w:val="1005"/>
        </w:numPr>
      </w:pPr>
      <w:r>
        <w:rPr>
          <w:b/>
          <w:bCs/>
        </w:rPr>
        <w:t xml:space="preserve">Adjusted EPS:</w:t>
      </w:r>
      <w:r>
        <w:t xml:space="preserve"> </w:t>
      </w:r>
      <w:r>
        <w:t xml:space="preserve">approximately</w:t>
      </w:r>
      <w:r>
        <w:t xml:space="preserve"> </w:t>
      </w:r>
      <m:oMath>
        <m:r>
          <m:t>1.72</m:t>
        </m:r>
        <m:r>
          <m:rPr>
            <m:sty m:val="p"/>
          </m:rPr>
          <m:t>−</m:t>
        </m:r>
      </m:oMath>
      <w:r>
        <w:rPr>
          <w:b/>
          <w:bCs/>
        </w:rPr>
        <w:t xml:space="preserve">1.82</w:t>
      </w:r>
      <w:r>
        <w:t xml:space="preserve">, post-split</w:t>
      </w:r>
    </w:p>
    <w:p>
      <w:pPr>
        <w:pStyle w:val="FirstParagraph"/>
      </w:pPr>
      <w:r>
        <w:t xml:space="preserve">These are</w:t>
      </w:r>
      <w:r>
        <w:t xml:space="preserve"> </w:t>
      </w:r>
      <w:r>
        <w:rPr>
          <w:b/>
          <w:bCs/>
        </w:rPr>
        <w:t xml:space="preserve">guidance-implied benchmarks, not analyst consensus estimates</w:t>
      </w:r>
      <w:r>
        <w:t xml:space="preserve">. They are nevertheless useful because reporting and per-share comparability have been disrupted by the spin-off and reverse split.</w:t>
      </w:r>
    </w:p>
    <w:p>
      <w:pPr>
        <w:pStyle w:val="BodyText"/>
      </w:pPr>
      <w:r>
        <w:t xml:space="preserve">For reference, Q2 2025 continuing-operations sales were $5.018 billion and adjusted EPS was $0.88 before the reverse split, or $1.76 on a split-adjusted basis. Thus, Honeywell’s existing framework appears to allow for roughly flat reported sales and modest adjusted EPS growth in Q2, with substantially stronger growth deferred to the second half.</w:t>
      </w:r>
    </w:p>
    <w:p>
      <w:r>
        <w:pict>
          <v:rect style="width:0;height:1.5pt" o:hralign="center" o:hrstd="t" o:hr="t"/>
        </w:pict>
      </w:r>
    </w:p>
    <w:bookmarkEnd w:id="11"/>
    <w:bookmarkEnd w:id="12"/>
    <w:bookmarkStart w:id="16" w:name="what-matters-by-segment"/>
    <w:p>
      <w:pPr>
        <w:pStyle w:val="Heading2"/>
      </w:pPr>
      <w:r>
        <w:t xml:space="preserve">What matters by segment</w:t>
      </w:r>
    </w:p>
    <w:bookmarkStart w:id="13" w:name="X196593f40451b364c5f5c2283a02c7d23afbd8d"/>
    <w:p>
      <w:pPr>
        <w:pStyle w:val="Heading3"/>
      </w:pPr>
      <w:r>
        <w:t xml:space="preserve">1. Building Automation: The earnings anchor</w:t>
      </w:r>
    </w:p>
    <w:p>
      <w:pPr>
        <w:pStyle w:val="FirstParagraph"/>
      </w:pPr>
      <w:r>
        <w:t xml:space="preserve">Building Automation entered the quarter with the strongest momentum in the portfolio:</w:t>
      </w:r>
    </w:p>
    <w:p>
      <w:pPr>
        <w:pStyle w:val="Compact"/>
        <w:numPr>
          <w:ilvl w:val="0"/>
          <w:numId w:val="1006"/>
        </w:numPr>
      </w:pPr>
      <w:r>
        <w:t xml:space="preserve">Q1 organic sales increased</w:t>
      </w:r>
      <w:r>
        <w:t xml:space="preserve"> </w:t>
      </w:r>
      <w:r>
        <w:rPr>
          <w:b/>
          <w:bCs/>
        </w:rPr>
        <w:t xml:space="preserve">8%</w:t>
      </w:r>
      <w:r>
        <w:t xml:space="preserve">.</w:t>
      </w:r>
    </w:p>
    <w:p>
      <w:pPr>
        <w:pStyle w:val="Compact"/>
        <w:numPr>
          <w:ilvl w:val="0"/>
          <w:numId w:val="1006"/>
        </w:numPr>
      </w:pPr>
      <w:r>
        <w:t xml:space="preserve">Orders increased</w:t>
      </w:r>
      <w:r>
        <w:t xml:space="preserve"> </w:t>
      </w:r>
      <w:r>
        <w:rPr>
          <w:b/>
          <w:bCs/>
        </w:rPr>
        <w:t xml:space="preserve">9%</w:t>
      </w:r>
      <w:r>
        <w:t xml:space="preserve">.</w:t>
      </w:r>
    </w:p>
    <w:p>
      <w:pPr>
        <w:pStyle w:val="Compact"/>
        <w:numPr>
          <w:ilvl w:val="0"/>
          <w:numId w:val="1006"/>
        </w:numPr>
      </w:pPr>
      <w:r>
        <w:t xml:space="preserve">Segment margin was</w:t>
      </w:r>
      <w:r>
        <w:t xml:space="preserve"> </w:t>
      </w:r>
      <w:r>
        <w:rPr>
          <w:b/>
          <w:bCs/>
        </w:rPr>
        <w:t xml:space="preserve">26.4%</w:t>
      </w:r>
      <w:r>
        <w:t xml:space="preserve">, up 40 basis points.</w:t>
      </w:r>
    </w:p>
    <w:p>
      <w:pPr>
        <w:pStyle w:val="Compact"/>
        <w:numPr>
          <w:ilvl w:val="0"/>
          <w:numId w:val="1006"/>
        </w:numPr>
      </w:pPr>
      <w:r>
        <w:t xml:space="preserve">Management said in June that quarter-to-date orders were growing at a high-double-digit rate.</w:t>
      </w:r>
    </w:p>
    <w:p>
      <w:pPr>
        <w:pStyle w:val="FirstParagraph"/>
      </w:pPr>
      <w:r>
        <w:t xml:space="preserve">Data centers, healthcare and hospitality remain important growth verticals. Data centers have risen from a negligible contribution several years ago to more than 5% of segment revenue in 2026. New products, fire and life-safety offerings, connected services and Honeywell Forge are also supporting above-market growth.</w:t>
      </w:r>
    </w:p>
    <w:p>
      <w:pPr>
        <w:pStyle w:val="BodyText"/>
      </w:pPr>
      <w:r>
        <w:rPr>
          <w:b/>
          <w:bCs/>
        </w:rPr>
        <w:t xml:space="preserve">What investors should want:</w:t>
      </w:r>
    </w:p>
    <w:p>
      <w:pPr>
        <w:pStyle w:val="Compact"/>
        <w:numPr>
          <w:ilvl w:val="0"/>
          <w:numId w:val="1007"/>
        </w:numPr>
      </w:pPr>
      <w:r>
        <w:t xml:space="preserve">Another quarter of high-single-digit organic growth.</w:t>
      </w:r>
    </w:p>
    <w:p>
      <w:pPr>
        <w:pStyle w:val="Compact"/>
        <w:numPr>
          <w:ilvl w:val="0"/>
          <w:numId w:val="1007"/>
        </w:numPr>
      </w:pPr>
      <w:r>
        <w:t xml:space="preserve">Continued strength in orders and book-to-bill.</w:t>
      </w:r>
    </w:p>
    <w:p>
      <w:pPr>
        <w:pStyle w:val="Compact"/>
        <w:numPr>
          <w:ilvl w:val="0"/>
          <w:numId w:val="1007"/>
        </w:numPr>
      </w:pPr>
      <w:r>
        <w:t xml:space="preserve">Margin expansion despite inflation.</w:t>
      </w:r>
    </w:p>
    <w:p>
      <w:pPr>
        <w:pStyle w:val="Compact"/>
        <w:numPr>
          <w:ilvl w:val="0"/>
          <w:numId w:val="1007"/>
        </w:numPr>
      </w:pPr>
      <w:r>
        <w:t xml:space="preserve">Evidence that growth extends beyond data centers and is broad-based across regions and products.</w:t>
      </w:r>
    </w:p>
    <w:p>
      <w:pPr>
        <w:pStyle w:val="FirstParagraph"/>
      </w:pPr>
      <w:r>
        <w:t xml:space="preserve">Because this business is the most consistent part of HON, an unexpected slowdown would be more concerning than a temporary miss elsewhere.</w:t>
      </w:r>
    </w:p>
    <w:bookmarkEnd w:id="13"/>
    <w:bookmarkStart w:id="14" w:name="Xe9e408a5d34b9033934505d3a7f5e990bcd9d2c"/>
    <w:p>
      <w:pPr>
        <w:pStyle w:val="Heading3"/>
      </w:pPr>
      <w:r>
        <w:t xml:space="preserve">2. Process Automation and Technology: The key swing factor</w:t>
      </w:r>
    </w:p>
    <w:p>
      <w:pPr>
        <w:pStyle w:val="FirstParagraph"/>
      </w:pPr>
      <w:r>
        <w:t xml:space="preserve">This is the most important segment for the outlook.</w:t>
      </w:r>
    </w:p>
    <w:p>
      <w:pPr>
        <w:pStyle w:val="BodyText"/>
      </w:pPr>
      <w:r>
        <w:t xml:space="preserve">Q1 organic sales declined</w:t>
      </w:r>
      <w:r>
        <w:t xml:space="preserve"> </w:t>
      </w:r>
      <w:r>
        <w:rPr>
          <w:b/>
          <w:bCs/>
        </w:rPr>
        <w:t xml:space="preserve">6%</w:t>
      </w:r>
      <w:r>
        <w:t xml:space="preserve">, reflecting:</w:t>
      </w:r>
    </w:p>
    <w:p>
      <w:pPr>
        <w:pStyle w:val="Compact"/>
        <w:numPr>
          <w:ilvl w:val="0"/>
          <w:numId w:val="1008"/>
        </w:numPr>
      </w:pPr>
      <w:r>
        <w:t xml:space="preserve">Middle East logistics and on-site service disruptions.</w:t>
      </w:r>
    </w:p>
    <w:p>
      <w:pPr>
        <w:pStyle w:val="Compact"/>
        <w:numPr>
          <w:ilvl w:val="0"/>
          <w:numId w:val="1008"/>
        </w:numPr>
      </w:pPr>
      <w:r>
        <w:t xml:space="preserve">Delayed refining catalyst shipments.</w:t>
      </w:r>
    </w:p>
    <w:p>
      <w:pPr>
        <w:pStyle w:val="Compact"/>
        <w:numPr>
          <w:ilvl w:val="0"/>
          <w:numId w:val="1008"/>
        </w:numPr>
      </w:pPr>
      <w:r>
        <w:t xml:space="preserve">Delayed automation service upgrades.</w:t>
      </w:r>
    </w:p>
    <w:p>
      <w:pPr>
        <w:pStyle w:val="Compact"/>
        <w:numPr>
          <w:ilvl w:val="0"/>
          <w:numId w:val="1008"/>
        </w:numPr>
      </w:pPr>
      <w:r>
        <w:t xml:space="preserve">Project timing.</w:t>
      </w:r>
    </w:p>
    <w:p>
      <w:pPr>
        <w:pStyle w:val="FirstParagraph"/>
      </w:pPr>
      <w:r>
        <w:t xml:space="preserve">Management previously expected Q2 to be slightly weaker than Q1, but it has consistently argued that this is a timing issue rather than a demand problem. Supporting that view:</w:t>
      </w:r>
    </w:p>
    <w:p>
      <w:pPr>
        <w:pStyle w:val="Compact"/>
        <w:numPr>
          <w:ilvl w:val="0"/>
          <w:numId w:val="1009"/>
        </w:numPr>
      </w:pPr>
      <w:r>
        <w:t xml:space="preserve">Process Technology orders grew double digits in Q1.</w:t>
      </w:r>
    </w:p>
    <w:p>
      <w:pPr>
        <w:pStyle w:val="Compact"/>
        <w:numPr>
          <w:ilvl w:val="0"/>
          <w:numId w:val="1009"/>
        </w:numPr>
      </w:pPr>
      <w:r>
        <w:t xml:space="preserve">PA&amp;T backlog increased approximately 22%.</w:t>
      </w:r>
    </w:p>
    <w:p>
      <w:pPr>
        <w:pStyle w:val="Compact"/>
        <w:numPr>
          <w:ilvl w:val="0"/>
          <w:numId w:val="1009"/>
        </w:numPr>
      </w:pPr>
      <w:r>
        <w:t xml:space="preserve">Management cited book-to-bill above 1.2 in recent quarters.</w:t>
      </w:r>
    </w:p>
    <w:p>
      <w:pPr>
        <w:pStyle w:val="Compact"/>
        <w:numPr>
          <w:ilvl w:val="0"/>
          <w:numId w:val="1009"/>
        </w:numPr>
      </w:pPr>
      <w:r>
        <w:t xml:space="preserve">LNG and large modular equipment projects are scheduled to convert in the second half.</w:t>
      </w:r>
    </w:p>
    <w:p>
      <w:pPr>
        <w:pStyle w:val="Compact"/>
        <w:numPr>
          <w:ilvl w:val="0"/>
          <w:numId w:val="1009"/>
        </w:numPr>
      </w:pPr>
      <w:r>
        <w:t xml:space="preserve">June commentary called for strong second-half growth, with management describing the LNG business as effectively sold out for the next several years.</w:t>
      </w:r>
    </w:p>
    <w:p>
      <w:pPr>
        <w:pStyle w:val="FirstParagraph"/>
      </w:pPr>
      <w:r>
        <w:rPr>
          <w:b/>
          <w:bCs/>
        </w:rPr>
        <w:t xml:space="preserve">The essential question:</w:t>
      </w:r>
      <w:r>
        <w:t xml:space="preserve"> </w:t>
      </w:r>
      <w:r>
        <w:t xml:space="preserve">Is the expected high-single-digit second-half growth acceleration still intact?</w:t>
      </w:r>
    </w:p>
    <w:p>
      <w:pPr>
        <w:pStyle w:val="BodyText"/>
      </w:pPr>
      <w:r>
        <w:t xml:space="preserve">Investors should focus less on the Q2 revenue decline itself and more on:</w:t>
      </w:r>
    </w:p>
    <w:p>
      <w:pPr>
        <w:pStyle w:val="Compact"/>
        <w:numPr>
          <w:ilvl w:val="0"/>
          <w:numId w:val="1010"/>
        </w:numPr>
      </w:pPr>
      <w:r>
        <w:t xml:space="preserve">Backlog conversion schedules.</w:t>
      </w:r>
    </w:p>
    <w:p>
      <w:pPr>
        <w:pStyle w:val="Compact"/>
        <w:numPr>
          <w:ilvl w:val="0"/>
          <w:numId w:val="1010"/>
        </w:numPr>
      </w:pPr>
      <w:r>
        <w:t xml:space="preserve">Catalyst shipment timing.</w:t>
      </w:r>
    </w:p>
    <w:p>
      <w:pPr>
        <w:pStyle w:val="Compact"/>
        <w:numPr>
          <w:ilvl w:val="0"/>
          <w:numId w:val="1010"/>
        </w:numPr>
      </w:pPr>
      <w:r>
        <w:t xml:space="preserve">Middle East service activity and collections.</w:t>
      </w:r>
    </w:p>
    <w:p>
      <w:pPr>
        <w:pStyle w:val="Compact"/>
        <w:numPr>
          <w:ilvl w:val="0"/>
          <w:numId w:val="1010"/>
        </w:numPr>
      </w:pPr>
      <w:r>
        <w:t xml:space="preserve">Whether large LNG projects have moved or remained on schedule.</w:t>
      </w:r>
    </w:p>
    <w:p>
      <w:pPr>
        <w:pStyle w:val="Compact"/>
        <w:numPr>
          <w:ilvl w:val="0"/>
          <w:numId w:val="1010"/>
        </w:numPr>
      </w:pPr>
      <w:r>
        <w:t xml:space="preserve">The margin implications of the expected second-half mix improvement.</w:t>
      </w:r>
    </w:p>
    <w:p>
      <w:pPr>
        <w:pStyle w:val="FirstParagraph"/>
      </w:pPr>
      <w:r>
        <w:t xml:space="preserve">A firm reaffirmation would support the thesis. Another pushout would call the 2026 guidance—and potentially the three-year framework—into question.</w:t>
      </w:r>
    </w:p>
    <w:bookmarkEnd w:id="14"/>
    <w:bookmarkStart w:id="15" w:name="Xdb2b3886b5853b6f3b6a9136ac73716abb6c5ff"/>
    <w:p>
      <w:pPr>
        <w:pStyle w:val="Heading3"/>
      </w:pPr>
      <w:r>
        <w:t xml:space="preserve">3. Industrial Automation: Early-stage turnaround</w:t>
      </w:r>
    </w:p>
    <w:p>
      <w:pPr>
        <w:pStyle w:val="FirstParagraph"/>
      </w:pPr>
      <w:r>
        <w:t xml:space="preserve">Q1 organic sales increased</w:t>
      </w:r>
      <w:r>
        <w:t xml:space="preserve"> </w:t>
      </w:r>
      <w:r>
        <w:rPr>
          <w:b/>
          <w:bCs/>
        </w:rPr>
        <w:t xml:space="preserve">1%</w:t>
      </w:r>
      <w:r>
        <w:t xml:space="preserve">, while orders rose</w:t>
      </w:r>
      <w:r>
        <w:t xml:space="preserve"> </w:t>
      </w:r>
      <w:r>
        <w:rPr>
          <w:b/>
          <w:bCs/>
        </w:rPr>
        <w:t xml:space="preserve">10%</w:t>
      </w:r>
      <w:r>
        <w:t xml:space="preserve">, helped by improvement in Europe and China.</w:t>
      </w:r>
    </w:p>
    <w:p>
      <w:pPr>
        <w:pStyle w:val="BodyText"/>
      </w:pPr>
      <w:r>
        <w:t xml:space="preserve">Following the planned sales of Productivity Solutions and Services and Warehouse and Workflow Solutions, Industrial Automation is becoming a roughly $4 billion sensing-and-measurement business. Management has outlined an ambitious plan to lift its pro forma margin from approximately 20% to 25% over three years through:</w:t>
      </w:r>
    </w:p>
    <w:p>
      <w:pPr>
        <w:pStyle w:val="Compact"/>
        <w:numPr>
          <w:ilvl w:val="0"/>
          <w:numId w:val="1011"/>
        </w:numPr>
      </w:pPr>
      <w:r>
        <w:t xml:space="preserve">Better delivery and operational execution.</w:t>
      </w:r>
    </w:p>
    <w:p>
      <w:pPr>
        <w:pStyle w:val="Compact"/>
        <w:numPr>
          <w:ilvl w:val="0"/>
          <w:numId w:val="1011"/>
        </w:numPr>
      </w:pPr>
      <w:r>
        <w:t xml:space="preserve">Pricing.</w:t>
      </w:r>
    </w:p>
    <w:p>
      <w:pPr>
        <w:pStyle w:val="Compact"/>
        <w:numPr>
          <w:ilvl w:val="0"/>
          <w:numId w:val="1011"/>
        </w:numPr>
      </w:pPr>
      <w:r>
        <w:t xml:space="preserve">New-product investment.</w:t>
      </w:r>
    </w:p>
    <w:p>
      <w:pPr>
        <w:pStyle w:val="Compact"/>
        <w:numPr>
          <w:ilvl w:val="0"/>
          <w:numId w:val="1011"/>
        </w:numPr>
      </w:pPr>
      <w:r>
        <w:t xml:space="preserve">Higher exposure to regulated, mission-critical applications.</w:t>
      </w:r>
    </w:p>
    <w:p>
      <w:pPr>
        <w:pStyle w:val="Compact"/>
        <w:numPr>
          <w:ilvl w:val="0"/>
          <w:numId w:val="1011"/>
        </w:numPr>
      </w:pPr>
      <w:r>
        <w:t xml:space="preserve">Greater services and software attachment.</w:t>
      </w:r>
    </w:p>
    <w:p>
      <w:pPr>
        <w:pStyle w:val="Compact"/>
        <w:numPr>
          <w:ilvl w:val="0"/>
          <w:numId w:val="1011"/>
        </w:numPr>
      </w:pPr>
      <w:r>
        <w:t xml:space="preserve">Removal of stranded costs.</w:t>
      </w:r>
    </w:p>
    <w:p>
      <w:pPr>
        <w:pStyle w:val="FirstParagraph"/>
      </w:pPr>
      <w:r>
        <w:t xml:space="preserve">Management said in June that it was bullish on the second half of 2026 and 2027 and that the margin program did not require aggressive top-line growth.</w:t>
      </w:r>
    </w:p>
    <w:p>
      <w:pPr>
        <w:pStyle w:val="BodyText"/>
      </w:pPr>
      <w:r>
        <w:rPr>
          <w:b/>
          <w:bCs/>
        </w:rPr>
        <w:t xml:space="preserve">Watch for:</w:t>
      </w:r>
    </w:p>
    <w:p>
      <w:pPr>
        <w:pStyle w:val="Compact"/>
        <w:numPr>
          <w:ilvl w:val="0"/>
          <w:numId w:val="1012"/>
        </w:numPr>
      </w:pPr>
      <w:r>
        <w:t xml:space="preserve">Positive organic growth excluding businesses held for sale.</w:t>
      </w:r>
    </w:p>
    <w:p>
      <w:pPr>
        <w:pStyle w:val="Compact"/>
        <w:numPr>
          <w:ilvl w:val="0"/>
          <w:numId w:val="1012"/>
        </w:numPr>
      </w:pPr>
      <w:r>
        <w:t xml:space="preserve">Continued orders recovery.</w:t>
      </w:r>
    </w:p>
    <w:p>
      <w:pPr>
        <w:pStyle w:val="Compact"/>
        <w:numPr>
          <w:ilvl w:val="0"/>
          <w:numId w:val="1012"/>
        </w:numPr>
      </w:pPr>
      <w:r>
        <w:t xml:space="preserve">Progress in sensing, gas detection and utility measurement.</w:t>
      </w:r>
    </w:p>
    <w:p>
      <w:pPr>
        <w:pStyle w:val="Compact"/>
        <w:numPr>
          <w:ilvl w:val="0"/>
          <w:numId w:val="1012"/>
        </w:numPr>
      </w:pPr>
      <w:r>
        <w:t xml:space="preserve">Specific evidence that operational improvements are translating into customer share recovery.</w:t>
      </w:r>
    </w:p>
    <w:p>
      <w:pPr>
        <w:pStyle w:val="Compact"/>
        <w:numPr>
          <w:ilvl w:val="0"/>
          <w:numId w:val="1012"/>
        </w:numPr>
      </w:pPr>
      <w:r>
        <w:t xml:space="preserve">Timing of the PSS and WWS divestitures.</w:t>
      </w:r>
    </w:p>
    <w:p>
      <w:r>
        <w:pict>
          <v:rect style="width:0;height:1.5pt" o:hralign="center" o:hrstd="t" o:hr="t"/>
        </w:pict>
      </w:r>
    </w:p>
    <w:bookmarkEnd w:id="15"/>
    <w:bookmarkEnd w:id="16"/>
    <w:bookmarkStart w:id="18" w:name="Xdd5f69ac4f9c887af5bafe03a6c4ecb59d58986"/>
    <w:p>
      <w:pPr>
        <w:pStyle w:val="Heading2"/>
      </w:pPr>
      <w:r>
        <w:t xml:space="preserve">Guidance is the likely stock-moving event</w:t>
      </w:r>
    </w:p>
    <w:p>
      <w:pPr>
        <w:pStyle w:val="FirstParagraph"/>
      </w:pPr>
      <w:r>
        <w:t xml:space="preserve">The current second-half guidance requires a clear acceleration:</w:t>
      </w:r>
    </w:p>
    <w:p>
      <w:pPr>
        <w:pStyle w:val="Compact"/>
        <w:numPr>
          <w:ilvl w:val="0"/>
          <w:numId w:val="1013"/>
        </w:numPr>
      </w:pPr>
      <w:r>
        <w:t xml:space="preserve">Organic growth of</w:t>
      </w:r>
      <w:r>
        <w:t xml:space="preserve"> </w:t>
      </w:r>
      <w:r>
        <w:rPr>
          <w:b/>
          <w:bCs/>
        </w:rPr>
        <w:t xml:space="preserve">3%-5%</w:t>
      </w:r>
    </w:p>
    <w:p>
      <w:pPr>
        <w:pStyle w:val="Compact"/>
        <w:numPr>
          <w:ilvl w:val="0"/>
          <w:numId w:val="1013"/>
        </w:numPr>
      </w:pPr>
      <w:r>
        <w:t xml:space="preserve">Segment margin of</w:t>
      </w:r>
      <w:r>
        <w:t xml:space="preserve"> </w:t>
      </w:r>
      <w:r>
        <w:rPr>
          <w:b/>
          <w:bCs/>
        </w:rPr>
        <w:t xml:space="preserve">20.9%-21.6%</w:t>
      </w:r>
    </w:p>
    <w:p>
      <w:pPr>
        <w:pStyle w:val="Compact"/>
        <w:numPr>
          <w:ilvl w:val="0"/>
          <w:numId w:val="1013"/>
        </w:numPr>
      </w:pPr>
      <w:r>
        <w:t xml:space="preserve">Adjusted EPS of</w:t>
      </w:r>
      <w:r>
        <w:t xml:space="preserve"> </w:t>
      </w:r>
      <m:oMath>
        <m:r>
          <m:t>4.40</m:t>
        </m:r>
        <m:r>
          <m:rPr>
            <m:sty m:val="p"/>
          </m:rPr>
          <m:t>−</m:t>
        </m:r>
      </m:oMath>
      <w:r>
        <w:rPr>
          <w:b/>
          <w:bCs/>
        </w:rPr>
        <w:t xml:space="preserve">4.70</w:t>
      </w:r>
    </w:p>
    <w:p>
      <w:pPr>
        <w:pStyle w:val="Compact"/>
        <w:numPr>
          <w:ilvl w:val="0"/>
          <w:numId w:val="1013"/>
        </w:numPr>
      </w:pPr>
      <w:r>
        <w:t xml:space="preserve">Free cash flow of approximately</w:t>
      </w:r>
      <w:r>
        <w:t xml:space="preserve"> </w:t>
      </w:r>
      <w:r>
        <w:rPr>
          <w:b/>
          <w:bCs/>
        </w:rPr>
        <w:t xml:space="preserve">$1.5 billion</w:t>
      </w:r>
    </w:p>
    <w:p>
      <w:pPr>
        <w:pStyle w:val="FirstParagraph"/>
      </w:pPr>
      <w:r>
        <w:t xml:space="preserve">Management sounded notably confident at its June 11 Investor Day. CFO Mike Stepniak described the 2026 earnings framework as having upside and said growth and margin improvement should arrive earlier rather than later. Tomorrow’s report will reveal whether that confidence survived the quarter-end close.</w:t>
      </w:r>
    </w:p>
    <w:bookmarkStart w:id="17" w:name="likely-interpretation"/>
    <w:p>
      <w:pPr>
        <w:pStyle w:val="Heading3"/>
      </w:pPr>
      <w:r>
        <w:t xml:space="preserve">Likely interpretation</w:t>
      </w:r>
    </w:p>
    <w:p>
      <w:pPr>
        <w:pStyle w:val="Compact"/>
        <w:numPr>
          <w:ilvl w:val="0"/>
          <w:numId w:val="1014"/>
        </w:numPr>
      </w:pPr>
      <w:r>
        <w:rPr>
          <w:b/>
          <w:bCs/>
        </w:rPr>
        <w:t xml:space="preserve">Full reaffirmation:</w:t>
      </w:r>
      <w:r>
        <w:t xml:space="preserve"> </w:t>
      </w:r>
      <w:r>
        <w:t xml:space="preserve">Baseline outcome, provided backlog conversion and margin commentary are convincing.</w:t>
      </w:r>
    </w:p>
    <w:p>
      <w:pPr>
        <w:pStyle w:val="Compact"/>
        <w:numPr>
          <w:ilvl w:val="0"/>
          <w:numId w:val="1014"/>
        </w:numPr>
      </w:pPr>
      <w:r>
        <w:rPr>
          <w:b/>
          <w:bCs/>
        </w:rPr>
        <w:t xml:space="preserve">Guidance narrowed toward the upper half:</w:t>
      </w:r>
      <w:r>
        <w:t xml:space="preserve"> </w:t>
      </w:r>
      <w:r>
        <w:t xml:space="preserve">Clearly positive.</w:t>
      </w:r>
    </w:p>
    <w:p>
      <w:pPr>
        <w:pStyle w:val="Compact"/>
        <w:numPr>
          <w:ilvl w:val="0"/>
          <w:numId w:val="1014"/>
        </w:numPr>
      </w:pPr>
      <w:r>
        <w:rPr>
          <w:b/>
          <w:bCs/>
        </w:rPr>
        <w:t xml:space="preserve">EPS raised without better operational guidance:</w:t>
      </w:r>
      <w:r>
        <w:t xml:space="preserve"> </w:t>
      </w:r>
      <w:r>
        <w:t xml:space="preserve">Less compelling if driven by tax, share count or accounting.</w:t>
      </w:r>
    </w:p>
    <w:p>
      <w:pPr>
        <w:pStyle w:val="Compact"/>
        <w:numPr>
          <w:ilvl w:val="0"/>
          <w:numId w:val="1014"/>
        </w:numPr>
      </w:pPr>
      <w:r>
        <w:rPr>
          <w:b/>
          <w:bCs/>
        </w:rPr>
        <w:t xml:space="preserve">Sales or organic-growth guidance reduced:</w:t>
      </w:r>
      <w:r>
        <w:t xml:space="preserve"> </w:t>
      </w:r>
      <w:r>
        <w:t xml:space="preserve">Negative, especially if tied to Process Automation.</w:t>
      </w:r>
    </w:p>
    <w:p>
      <w:pPr>
        <w:pStyle w:val="Compact"/>
        <w:numPr>
          <w:ilvl w:val="0"/>
          <w:numId w:val="1014"/>
        </w:numPr>
      </w:pPr>
      <w:r>
        <w:rPr>
          <w:b/>
          <w:bCs/>
        </w:rPr>
        <w:t xml:space="preserve">Second-half margin reduced:</w:t>
      </w:r>
      <w:r>
        <w:t xml:space="preserve"> </w:t>
      </w:r>
      <w:r>
        <w:t xml:space="preserve">Particularly concerning because much of the margin improvement is supposed to come from internally controlled cost actions.</w:t>
      </w:r>
    </w:p>
    <w:p>
      <w:r>
        <w:pict>
          <v:rect style="width:0;height:1.5pt" o:hralign="center" o:hrstd="t" o:hr="t"/>
        </w:pict>
      </w:r>
    </w:p>
    <w:bookmarkEnd w:id="17"/>
    <w:bookmarkEnd w:id="18"/>
    <w:bookmarkStart w:id="19" w:name="accounting-and-presentation-risks"/>
    <w:p>
      <w:pPr>
        <w:pStyle w:val="Heading2"/>
      </w:pPr>
      <w:r>
        <w:t xml:space="preserve">Accounting and presentation risks</w:t>
      </w:r>
    </w:p>
    <w:p>
      <w:pPr>
        <w:pStyle w:val="FirstParagraph"/>
      </w:pPr>
      <w:r>
        <w:t xml:space="preserve">Investors should expect unusually complicated comparability.</w:t>
      </w:r>
    </w:p>
    <w:p>
      <w:pPr>
        <w:pStyle w:val="BodyText"/>
      </w:pPr>
      <w:r>
        <w:t xml:space="preserve">Key changes include:</w:t>
      </w:r>
    </w:p>
    <w:p>
      <w:pPr>
        <w:pStyle w:val="Compact"/>
        <w:numPr>
          <w:ilvl w:val="0"/>
          <w:numId w:val="1015"/>
        </w:numPr>
      </w:pPr>
      <w:r>
        <w:t xml:space="preserve">Honeywell Aerospace was separated on June 29.</w:t>
      </w:r>
    </w:p>
    <w:p>
      <w:pPr>
        <w:pStyle w:val="Compact"/>
        <w:numPr>
          <w:ilvl w:val="0"/>
          <w:numId w:val="1015"/>
        </w:numPr>
      </w:pPr>
      <w:r>
        <w:t xml:space="preserve">HON completed a 1-for-2 reverse stock split, reducing outstanding shares from approximately 634 million to 317 million.</w:t>
      </w:r>
    </w:p>
    <w:p>
      <w:pPr>
        <w:pStyle w:val="Compact"/>
        <w:numPr>
          <w:ilvl w:val="0"/>
          <w:numId w:val="1015"/>
        </w:numPr>
      </w:pPr>
      <w:r>
        <w:t xml:space="preserve">Aerospace is being moved to discontinued operations, with historical periods recast.</w:t>
      </w:r>
    </w:p>
    <w:p>
      <w:pPr>
        <w:pStyle w:val="Compact"/>
        <w:numPr>
          <w:ilvl w:val="0"/>
          <w:numId w:val="1015"/>
        </w:numPr>
      </w:pPr>
      <w:r>
        <w:t xml:space="preserve">Quantinuum was deconsolidated following its June IPO.</w:t>
      </w:r>
    </w:p>
    <w:p>
      <w:pPr>
        <w:pStyle w:val="Compact"/>
        <w:numPr>
          <w:ilvl w:val="0"/>
          <w:numId w:val="1015"/>
        </w:numPr>
      </w:pPr>
      <w:r>
        <w:t xml:space="preserve">Honeywell is changing its adjusted EPS definition to exclude pension income.</w:t>
      </w:r>
    </w:p>
    <w:p>
      <w:pPr>
        <w:pStyle w:val="Compact"/>
        <w:numPr>
          <w:ilvl w:val="0"/>
          <w:numId w:val="1015"/>
        </w:numPr>
      </w:pPr>
      <w:r>
        <w:t xml:space="preserve">PSS and WWS remain held for sale.</w:t>
      </w:r>
    </w:p>
    <w:p>
      <w:pPr>
        <w:pStyle w:val="Compact"/>
        <w:numPr>
          <w:ilvl w:val="0"/>
          <w:numId w:val="1015"/>
        </w:numPr>
      </w:pPr>
      <w:r>
        <w:t xml:space="preserve">Separation, restructuring and debt-related charges may create a wide gap between GAAP and adjusted results.</w:t>
      </w:r>
    </w:p>
    <w:p>
      <w:pPr>
        <w:pStyle w:val="FirstParagraph"/>
      </w:pPr>
      <w:r>
        <w:t xml:space="preserve">The cleanest analytical approach is to emphasize:</w:t>
      </w:r>
    </w:p>
    <w:p>
      <w:pPr>
        <w:pStyle w:val="Compact"/>
        <w:numPr>
          <w:ilvl w:val="0"/>
          <w:numId w:val="1016"/>
        </w:numPr>
      </w:pPr>
      <w:r>
        <w:t xml:space="preserve">Continuing-operations segment sales.</w:t>
      </w:r>
    </w:p>
    <w:p>
      <w:pPr>
        <w:pStyle w:val="Compact"/>
        <w:numPr>
          <w:ilvl w:val="0"/>
          <w:numId w:val="1016"/>
        </w:numPr>
      </w:pPr>
      <w:r>
        <w:t xml:space="preserve">Organic growth by the three remaining segments.</w:t>
      </w:r>
    </w:p>
    <w:p>
      <w:pPr>
        <w:pStyle w:val="Compact"/>
        <w:numPr>
          <w:ilvl w:val="0"/>
          <w:numId w:val="1016"/>
        </w:numPr>
      </w:pPr>
      <w:r>
        <w:t xml:space="preserve">Segment profit and margin.</w:t>
      </w:r>
    </w:p>
    <w:p>
      <w:pPr>
        <w:pStyle w:val="Compact"/>
        <w:numPr>
          <w:ilvl w:val="0"/>
          <w:numId w:val="1016"/>
        </w:numPr>
      </w:pPr>
      <w:r>
        <w:t xml:space="preserve">Adjusted EPS under the new definition.</w:t>
      </w:r>
    </w:p>
    <w:p>
      <w:pPr>
        <w:pStyle w:val="Compact"/>
        <w:numPr>
          <w:ilvl w:val="0"/>
          <w:numId w:val="1016"/>
        </w:numPr>
      </w:pPr>
      <w:r>
        <w:t xml:space="preserve">Free cash flow before separation-related payments.</w:t>
      </w:r>
    </w:p>
    <w:p>
      <w:pPr>
        <w:pStyle w:val="Compact"/>
        <w:numPr>
          <w:ilvl w:val="0"/>
          <w:numId w:val="1016"/>
        </w:numPr>
      </w:pPr>
      <w:r>
        <w:t xml:space="preserve">The bridge to second-half guidance.</w:t>
      </w:r>
    </w:p>
    <w:p>
      <w:r>
        <w:pict>
          <v:rect style="width:0;height:1.5pt" o:hralign="center" o:hrstd="t" o:hr="t"/>
        </w:pict>
      </w:r>
    </w:p>
    <w:bookmarkEnd w:id="19"/>
    <w:bookmarkStart w:id="23" w:name="other-issues-to-monitor"/>
    <w:p>
      <w:pPr>
        <w:pStyle w:val="Heading2"/>
      </w:pPr>
      <w:r>
        <w:t xml:space="preserve">Other issues to monitor</w:t>
      </w:r>
    </w:p>
    <w:bookmarkStart w:id="20" w:name="stranded-costs"/>
    <w:p>
      <w:pPr>
        <w:pStyle w:val="Heading3"/>
      </w:pPr>
      <w:r>
        <w:t xml:space="preserve">Stranded costs</w:t>
      </w:r>
    </w:p>
    <w:p>
      <w:pPr>
        <w:pStyle w:val="FirstParagraph"/>
      </w:pPr>
      <w:r>
        <w:t xml:space="preserve">At Investor Day, Honeywell estimated remaining stranded costs at approximately</w:t>
      </w:r>
      <w:r>
        <w:t xml:space="preserve"> </w:t>
      </w:r>
      <w:r>
        <w:rPr>
          <w:b/>
          <w:bCs/>
        </w:rPr>
        <w:t xml:space="preserve">$290 million</w:t>
      </w:r>
      <w:r>
        <w:t xml:space="preserve">, with roughly $200 million already actioned and the balance expected to be removed over the following 12 months.</w:t>
      </w:r>
    </w:p>
    <w:p>
      <w:pPr>
        <w:pStyle w:val="BodyText"/>
      </w:pPr>
      <w:r>
        <w:t xml:space="preserve">Investors should ask how much has already entered the run rate and whether corporate expenses are tracking toward the Investor Day framework.</w:t>
      </w:r>
    </w:p>
    <w:bookmarkEnd w:id="20"/>
    <w:bookmarkStart w:id="21" w:name="johnson-matthey-catalyst-technologies"/>
    <w:p>
      <w:pPr>
        <w:pStyle w:val="Heading3"/>
      </w:pPr>
      <w:r>
        <w:t xml:space="preserve">Johnson Matthey Catalyst Technologies</w:t>
      </w:r>
    </w:p>
    <w:p>
      <w:pPr>
        <w:pStyle w:val="FirstParagraph"/>
      </w:pPr>
      <w:r>
        <w:t xml:space="preserve">Honeywell previously expected the acquisition to close by the end of July. The deal is incorporated into the 2026 outlook and will initially dilute Process Automation margins, although management expects substantial longer-term growth and integration benefits.</w:t>
      </w:r>
    </w:p>
    <w:p>
      <w:pPr>
        <w:pStyle w:val="BodyText"/>
      </w:pPr>
      <w:r>
        <w:t xml:space="preserve">Any closing delay or change in expected earnings contribution would be relevant.</w:t>
      </w:r>
    </w:p>
    <w:bookmarkEnd w:id="21"/>
    <w:bookmarkStart w:id="22" w:name="cash-conversion-and-leverage"/>
    <w:p>
      <w:pPr>
        <w:pStyle w:val="Heading3"/>
      </w:pPr>
      <w:r>
        <w:t xml:space="preserve">Cash conversion and leverage</w:t>
      </w:r>
    </w:p>
    <w:p>
      <w:pPr>
        <w:pStyle w:val="FirstParagraph"/>
      </w:pPr>
      <w:r>
        <w:t xml:space="preserve">Management expects more than 95% free-cash-flow conversion in the second half and has prioritized reducing leverage below 3x before returning to more active M&amp;A.</w:t>
      </w:r>
    </w:p>
    <w:p>
      <w:pPr>
        <w:pStyle w:val="BodyText"/>
      </w:pPr>
      <w:r>
        <w:t xml:space="preserve">Given weak Q1 cash flow and significant separation-related payments, collections, working capital and the quality of Q2 cash generation deserve close attention.</w:t>
      </w:r>
    </w:p>
    <w:p>
      <w:r>
        <w:pict>
          <v:rect style="width:0;height:1.5pt" o:hralign="center" o:hrstd="t" o:hr="t"/>
        </w:pict>
      </w:r>
    </w:p>
    <w:bookmarkEnd w:id="22"/>
    <w:bookmarkEnd w:id="23"/>
    <w:bookmarkStart w:id="24" w:name="valuation-and-riskreward"/>
    <w:p>
      <w:pPr>
        <w:pStyle w:val="Heading2"/>
      </w:pPr>
      <w:r>
        <w:t xml:space="preserve">Valuation and risk/reward</w:t>
      </w:r>
    </w:p>
    <w:p>
      <w:pPr>
        <w:pStyle w:val="FirstParagraph"/>
      </w:pPr>
      <w:r>
        <w:t xml:space="preserve">HON closed July 22 at</w:t>
      </w:r>
      <w:r>
        <w:t xml:space="preserve"> </w:t>
      </w:r>
      <w:r>
        <w:rPr>
          <w:b/>
          <w:bCs/>
        </w:rPr>
        <w:t xml:space="preserve">$233.03</w:t>
      </w:r>
      <w:r>
        <w:t xml:space="preserve">. Against the $8.10 midpoint of 2026 adjusted EPS guidance, the shares trade at approximately</w:t>
      </w:r>
      <w:r>
        <w:t xml:space="preserve"> </w:t>
      </w:r>
      <w:r>
        <w:rPr>
          <w:b/>
          <w:bCs/>
        </w:rPr>
        <w:t xml:space="preserve">28.8x earnings</w:t>
      </w:r>
      <w:r>
        <w:t xml:space="preserve">. The roughly $2 billion free-cash-flow target equates to an adjusted FCF yield near</w:t>
      </w:r>
      <w:r>
        <w:t xml:space="preserve"> </w:t>
      </w:r>
      <w:r>
        <w:rPr>
          <w:b/>
          <w:bCs/>
        </w:rPr>
        <w:t xml:space="preserve">2.7%</w:t>
      </w:r>
      <w:r>
        <w:t xml:space="preserve">.</w:t>
      </w:r>
    </w:p>
    <w:p>
      <w:pPr>
        <w:pStyle w:val="BodyText"/>
      </w:pPr>
      <w:r>
        <w:t xml:space="preserve">That valuation is consistent with investors underwriting:</w:t>
      </w:r>
    </w:p>
    <w:p>
      <w:pPr>
        <w:pStyle w:val="Compact"/>
        <w:numPr>
          <w:ilvl w:val="0"/>
          <w:numId w:val="1017"/>
        </w:numPr>
      </w:pPr>
      <w:r>
        <w:t xml:space="preserve">Durable mid-single-digit organic growth.</w:t>
      </w:r>
    </w:p>
    <w:p>
      <w:pPr>
        <w:pStyle w:val="Compact"/>
        <w:numPr>
          <w:ilvl w:val="0"/>
          <w:numId w:val="1017"/>
        </w:numPr>
      </w:pPr>
      <w:r>
        <w:t xml:space="preserve">More than 60 basis points of annual underlying margin expansion.</w:t>
      </w:r>
    </w:p>
    <w:p>
      <w:pPr>
        <w:pStyle w:val="Compact"/>
        <w:numPr>
          <w:ilvl w:val="0"/>
          <w:numId w:val="1017"/>
        </w:numPr>
      </w:pPr>
      <w:r>
        <w:t xml:space="preserve">Double-digit long-term EPS growth.</w:t>
      </w:r>
    </w:p>
    <w:p>
      <w:pPr>
        <w:pStyle w:val="Compact"/>
        <w:numPr>
          <w:ilvl w:val="0"/>
          <w:numId w:val="1017"/>
        </w:numPr>
      </w:pPr>
      <w:r>
        <w:t xml:space="preserve">Successful conversion of Honeywell’s installed base into higher-margin services and software.</w:t>
      </w:r>
    </w:p>
    <w:p>
      <w:pPr>
        <w:pStyle w:val="FirstParagraph"/>
      </w:pPr>
      <w:r>
        <w:t xml:space="preserve">It leaves less room for repeated project delays, weak cash conversion or slower cost removal.</w:t>
      </w:r>
    </w:p>
    <w:p>
      <w:r>
        <w:pict>
          <v:rect style="width:0;height:1.5pt" o:hralign="center" o:hrstd="t" o:hr="t"/>
        </w:pict>
      </w:r>
    </w:p>
    <w:bookmarkEnd w:id="24"/>
    <w:bookmarkStart w:id="27" w:name="bull-and-bear-scenarios"/>
    <w:p>
      <w:pPr>
        <w:pStyle w:val="Heading2"/>
      </w:pPr>
      <w:r>
        <w:t xml:space="preserve">Bull and bear scenarios</w:t>
      </w:r>
    </w:p>
    <w:bookmarkStart w:id="25" w:name="bull-case"/>
    <w:p>
      <w:pPr>
        <w:pStyle w:val="Heading3"/>
      </w:pPr>
      <w:r>
        <w:t xml:space="preserve">Bull case</w:t>
      </w:r>
    </w:p>
    <w:p>
      <w:pPr>
        <w:pStyle w:val="Compact"/>
        <w:numPr>
          <w:ilvl w:val="0"/>
          <w:numId w:val="1018"/>
        </w:numPr>
      </w:pPr>
      <w:r>
        <w:t xml:space="preserve">Building Automation sustains high-single-digit growth.</w:t>
      </w:r>
    </w:p>
    <w:p>
      <w:pPr>
        <w:pStyle w:val="Compact"/>
        <w:numPr>
          <w:ilvl w:val="0"/>
          <w:numId w:val="1018"/>
        </w:numPr>
      </w:pPr>
      <w:r>
        <w:t xml:space="preserve">PA&amp;T backlog and orders remain strong, with the second-half ramp explicitly reaffirmed.</w:t>
      </w:r>
    </w:p>
    <w:p>
      <w:pPr>
        <w:pStyle w:val="Compact"/>
        <w:numPr>
          <w:ilvl w:val="0"/>
          <w:numId w:val="1018"/>
        </w:numPr>
      </w:pPr>
      <w:r>
        <w:t xml:space="preserve">Industrial Automation continues its operational recovery.</w:t>
      </w:r>
    </w:p>
    <w:p>
      <w:pPr>
        <w:pStyle w:val="Compact"/>
        <w:numPr>
          <w:ilvl w:val="0"/>
          <w:numId w:val="1018"/>
        </w:numPr>
      </w:pPr>
      <w:r>
        <w:t xml:space="preserve">Management guides toward the upper half of the EPS and margin ranges.</w:t>
      </w:r>
    </w:p>
    <w:p>
      <w:pPr>
        <w:pStyle w:val="Compact"/>
        <w:numPr>
          <w:ilvl w:val="0"/>
          <w:numId w:val="1018"/>
        </w:numPr>
      </w:pPr>
      <w:r>
        <w:t xml:space="preserve">Cash conversion and stranded-cost removal track ahead of schedule.</w:t>
      </w:r>
    </w:p>
    <w:p>
      <w:pPr>
        <w:pStyle w:val="Compact"/>
        <w:numPr>
          <w:ilvl w:val="0"/>
          <w:numId w:val="1018"/>
        </w:numPr>
      </w:pPr>
      <w:r>
        <w:t xml:space="preserve">Johnson Matthey closes on time.</w:t>
      </w:r>
    </w:p>
    <w:bookmarkEnd w:id="25"/>
    <w:bookmarkStart w:id="26" w:name="bear-case"/>
    <w:p>
      <w:pPr>
        <w:pStyle w:val="Heading3"/>
      </w:pPr>
      <w:r>
        <w:t xml:space="preserve">Bear case</w:t>
      </w:r>
    </w:p>
    <w:p>
      <w:pPr>
        <w:pStyle w:val="Compact"/>
        <w:numPr>
          <w:ilvl w:val="0"/>
          <w:numId w:val="1019"/>
        </w:numPr>
      </w:pPr>
      <w:r>
        <w:t xml:space="preserve">PA&amp;T catalyst and project timing slips again.</w:t>
      </w:r>
    </w:p>
    <w:p>
      <w:pPr>
        <w:pStyle w:val="Compact"/>
        <w:numPr>
          <w:ilvl w:val="0"/>
          <w:numId w:val="1019"/>
        </w:numPr>
      </w:pPr>
      <w:r>
        <w:t xml:space="preserve">Middle East disruptions remain a material second-half headwind.</w:t>
      </w:r>
    </w:p>
    <w:p>
      <w:pPr>
        <w:pStyle w:val="Compact"/>
        <w:numPr>
          <w:ilvl w:val="0"/>
          <w:numId w:val="1019"/>
        </w:numPr>
      </w:pPr>
      <w:r>
        <w:t xml:space="preserve">Management trims the 3%-5% second-half organic-growth expectation.</w:t>
      </w:r>
    </w:p>
    <w:p>
      <w:pPr>
        <w:pStyle w:val="Compact"/>
        <w:numPr>
          <w:ilvl w:val="0"/>
          <w:numId w:val="1019"/>
        </w:numPr>
      </w:pPr>
      <w:r>
        <w:t xml:space="preserve">Corporate costs or stranded-cost removal disappoint.</w:t>
      </w:r>
    </w:p>
    <w:p>
      <w:pPr>
        <w:pStyle w:val="Compact"/>
        <w:numPr>
          <w:ilvl w:val="0"/>
          <w:numId w:val="1019"/>
        </w:numPr>
      </w:pPr>
      <w:r>
        <w:t xml:space="preserve">Free cash flow depends heavily on adjustments rather than underlying working-capital improvement.</w:t>
      </w:r>
    </w:p>
    <w:p>
      <w:pPr>
        <w:pStyle w:val="Compact"/>
        <w:numPr>
          <w:ilvl w:val="0"/>
          <w:numId w:val="1019"/>
        </w:numPr>
      </w:pPr>
      <w:r>
        <w:t xml:space="preserve">Divestiture or acquisition timing creates additional earnings uncertainty.</w:t>
      </w:r>
    </w:p>
    <w:bookmarkEnd w:id="26"/>
    <w:bookmarkEnd w:id="27"/>
    <w:bookmarkStart w:id="28" w:name="bottom-line"/>
    <w:p>
      <w:pPr>
        <w:pStyle w:val="Heading2"/>
      </w:pPr>
      <w:r>
        <w:t xml:space="preserve">Bottom line</w:t>
      </w:r>
    </w:p>
    <w:p>
      <w:pPr>
        <w:pStyle w:val="FirstParagraph"/>
      </w:pPr>
      <w:r>
        <w:t xml:space="preserve">The likely Q2 numbers are not the main event. The report’s importance lies in whether management can make the</w:t>
      </w:r>
      <w:r>
        <w:t xml:space="preserve"> </w:t>
      </w:r>
      <w:r>
        <w:rPr>
          <w:b/>
          <w:bCs/>
        </w:rPr>
        <w:t xml:space="preserve">second-half acceleration credible</w:t>
      </w:r>
      <w:r>
        <w:t xml:space="preserve">.</w:t>
      </w:r>
    </w:p>
    <w:p>
      <w:pPr>
        <w:pStyle w:val="BodyText"/>
      </w:pPr>
      <w:r>
        <w:t xml:space="preserve">The most constructive outcome would combine continued Building Automation strength, evidence that PA&amp;T has reached its trough, measurable progress in Industrial Automation and an unchanged—or improved—second-half margin and EPS outlook. Conversely, any further delay in PA&amp;T backlog conversion would be difficult to dismiss as quarterly noise given HON’s premium valuation and the confidence expressed at Investor Day.</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2026-07-23T00:04:46Z</dcterms:created>
  <dcterms:modified xsi:type="dcterms:W3CDTF">2026-07-23T00:04:46Z</dcterms:modified>
</cp:coreProperties>
</file>

<file path=docProps/custom.xml><?xml version="1.0" encoding="utf-8"?>
<Properties xmlns="http://schemas.openxmlformats.org/officeDocument/2006/custom-properties" xmlns:vt="http://schemas.openxmlformats.org/officeDocument/2006/docPropsVTypes"/>
</file>