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n-earnings-predictions--2026-07-23"/>
    <w:p>
      <w:pPr>
        <w:pStyle w:val="Heading1"/>
      </w:pPr>
      <w:r>
        <w:t xml:space="preserve">HON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~$1.86 vs. cons $1.82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~3.0% vs. cons 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Segment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~19.2% vs. cons 19.1%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~$8.10 vs. cons $8.10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vs. cons 2.5%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segment-margin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~245 bps vs. cons 245 bps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~$2.00B vs. cons $2.00B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2H2026 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 vs. cons 4.0%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~$4.55 vs. cons $4.55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0.04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s</m:t>
              </m:r>
              <m:r>
                <m:t>t</m:t>
              </m:r>
              <m:r>
                <m:t>a</m:t>
              </m:r>
              <m:r>
                <m:t>b</m:t>
              </m:r>
              <m:r>
                <m:t>l</m:t>
              </m:r>
              <m:r>
                <m:t>e</m:t>
              </m:r>
              <m:r>
                <m:t> </m:t>
              </m:r>
              <m:r>
                <m:t>3.0</m:t>
              </m:r>
            </m:oMath>
            <w:r>
              <w:t xml:space="preserve">8.10) and 2H EPS (~$4.55) leave out-period estimates broadly intact; the cash and PA&amp;T conversion burden remains concentrated in 2H.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2026-07-23T00:02:57Z</dcterms:created>
  <dcterms:modified xsi:type="dcterms:W3CDTF">2026-07-23T00:02:57Z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