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3162564947d83caea56f969442b28636f4f8abc"/>
    <w:p>
      <w:pPr>
        <w:pStyle w:val="Heading1"/>
      </w:pPr>
      <w:r>
        <w:t xml:space="preserve">Honeywell Technologies (NASDAQ: HON) — 2Q26 Earnings Preview</w:t>
      </w:r>
    </w:p>
    <w:p>
      <w:pPr>
        <w:pStyle w:val="FirstParagraph"/>
      </w:pPr>
      <w:r>
        <w:rPr>
          <w:b/>
          <w:bCs/>
        </w:rPr>
        <w:t xml:space="preserve">Event:</w:t>
      </w:r>
      <w:r>
        <w:t xml:space="preserve"> </w:t>
      </w:r>
      <w:r>
        <w:t xml:space="preserve">Thursday, July 23, 2026, before market open; conference call at</w:t>
      </w:r>
      <w:r>
        <w:t xml:space="preserve"> </w:t>
      </w:r>
      <w:r>
        <w:rPr>
          <w:b/>
          <w:bCs/>
        </w:rPr>
        <w:t xml:space="preserve">8:30 a.m. EDT</w:t>
      </w:r>
      <w:r>
        <w:t xml:space="preserve">.</w:t>
      </w:r>
      <w:r>
        <w:br/>
      </w:r>
      <w:r>
        <w:rPr>
          <w:b/>
          <w:bCs/>
        </w:rPr>
        <w:t xml:space="preserve">Important reporting point:</w:t>
      </w:r>
      <w:r>
        <w:t xml:space="preserve"> </w:t>
      </w:r>
      <w:r>
        <w:t xml:space="preserve">This will be an unusually complex release. Honeywell Technologies has been a stand-alone automation company since the June 29 spin-off of Honeywell Aerospace, but the reported second-quarter results will still include the former Aerospace Technologies segment, now Honeywell Aerospace (</w:t>
      </w:r>
      <w:r>
        <w:rPr>
          <w:b/>
          <w:bCs/>
        </w:rPr>
        <w:t xml:space="preserve">HONA</w:t>
      </w:r>
      <w:r>
        <w:t xml:space="preserve">).</w:t>
      </w:r>
    </w:p>
    <w:bookmarkStart w:id="9" w:name="X2dd6728ab8625812b6cc03a3b480cb3434f83c5"/>
    <w:p>
      <w:pPr>
        <w:pStyle w:val="Heading2"/>
      </w:pPr>
      <w:r>
        <w:t xml:space="preserve">Investment framing: the first report after the separation reset</w:t>
      </w:r>
    </w:p>
    <w:p>
      <w:pPr>
        <w:pStyle w:val="FirstParagraph"/>
      </w:pPr>
      <w:r>
        <w:t xml:space="preserve">This is not a conventional “beat versus consensus” quarter. The key issue is whether the first-quarter operating narrative—solid Building Automation, improving Industrial Automation, and a delayed but backlog-supported recovery in Process Automation &amp; Technology (PA&amp;T)—still supports the newly established stand-alone Honeywell Technologies outlook.</w:t>
      </w:r>
    </w:p>
    <w:p>
      <w:pPr>
        <w:pStyle w:val="BodyText"/>
      </w:pPr>
      <w:r>
        <w:t xml:space="preserve">The company has already reset the framework for HON as a pure-play automation business: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2026 Honeywell Technologies guidance</w:t>
            </w:r>
          </w:p>
        </w:tc>
        <w:tc>
          <w:tcPr/>
          <w:p>
            <w:pPr>
              <w:pStyle w:val="Compact"/>
              <w:jc w:val="right"/>
            </w:pPr>
            <w:r>
              <w:t xml:space="preserve">Current outlook</w:t>
            </w:r>
          </w:p>
        </w:tc>
      </w:tr>
      <w:tr>
        <w:tc>
          <w:tcPr/>
          <w:p>
            <w:pPr>
              <w:pStyle w:val="Compact"/>
            </w:pPr>
            <w:r>
              <w:t xml:space="preserve">Sales</w:t>
            </w:r>
          </w:p>
        </w:tc>
        <w:tc>
          <w:tcPr/>
          <w:p>
            <w:pPr>
              <w:pStyle w:val="Compact"/>
              <w:jc w:val="right"/>
            </w:pPr>
            <m:oMath>
              <m:r>
                <m:t>19.9</m:t>
              </m:r>
              <m:r>
                <m:t>B</m:t>
              </m:r>
              <m:r>
                <m:rPr>
                  <m:sty m:val="p"/>
                </m:rPr>
                <m:t>–</m:t>
              </m:r>
            </m:oMath>
            <w:r>
              <w:rPr>
                <w:b/>
                <w:bCs/>
              </w:rPr>
              <w:t xml:space="preserve">20.2B</w:t>
            </w:r>
          </w:p>
        </w:tc>
      </w:tr>
      <w:tr>
        <w:tc>
          <w:tcPr/>
          <w:p>
            <w:pPr>
              <w:pStyle w:val="Compact"/>
            </w:pPr>
            <w:r>
              <w:t xml:space="preserve">Organic sales growth</w:t>
            </w:r>
          </w:p>
        </w:tc>
        <w:tc>
          <w:tcPr/>
          <w:p>
            <w:pPr>
              <w:pStyle w:val="Compact"/>
              <w:jc w:val="right"/>
            </w:pPr>
            <w:r>
              <w:rPr>
                <w:b/>
                <w:bCs/>
              </w:rPr>
              <w:t xml:space="preserve">2%–3%</w:t>
            </w:r>
          </w:p>
        </w:tc>
      </w:tr>
      <w:tr>
        <w:tc>
          <w:tcPr/>
          <w:p>
            <w:pPr>
              <w:pStyle w:val="Compact"/>
            </w:pPr>
            <w:r>
              <w:t xml:space="preserve">Segment margin</w:t>
            </w:r>
          </w:p>
        </w:tc>
        <w:tc>
          <w:tcPr/>
          <w:p>
            <w:pPr>
              <w:pStyle w:val="Compact"/>
              <w:jc w:val="right"/>
            </w:pPr>
            <w:r>
              <w:rPr>
                <w:b/>
                <w:bCs/>
              </w:rPr>
              <w:t xml:space="preserve">19.8%–20.3%</w:t>
            </w:r>
          </w:p>
        </w:tc>
      </w:tr>
      <w:tr>
        <w:tc>
          <w:tcPr/>
          <w:p>
            <w:pPr>
              <w:pStyle w:val="Compact"/>
            </w:pPr>
            <w:r>
              <w:t xml:space="preserve">Margin expansion</w:t>
            </w:r>
          </w:p>
        </w:tc>
        <w:tc>
          <w:tcPr/>
          <w:p>
            <w:pPr>
              <w:pStyle w:val="Compact"/>
              <w:jc w:val="right"/>
            </w:pPr>
            <w:r>
              <w:rPr>
                <w:b/>
                <w:bCs/>
              </w:rPr>
              <w:t xml:space="preserve">220–270 bps</w:t>
            </w:r>
          </w:p>
        </w:tc>
      </w:tr>
      <w:tr>
        <w:tc>
          <w:tcPr/>
          <w:p>
            <w:pPr>
              <w:pStyle w:val="Compact"/>
            </w:pPr>
            <w:r>
              <w:t xml:space="preserve">Adjusted EPS</w:t>
            </w:r>
          </w:p>
        </w:tc>
        <w:tc>
          <w:tcPr/>
          <w:p>
            <w:pPr>
              <w:pStyle w:val="Compact"/>
              <w:jc w:val="right"/>
            </w:pPr>
            <m:oMath>
              <m:r>
                <m:t>7.90</m:t>
              </m:r>
              <m:r>
                <m:rPr>
                  <m:sty m:val="p"/>
                </m:rPr>
                <m:t>–</m:t>
              </m:r>
            </m:oMath>
            <w:r>
              <w:rPr>
                <w:b/>
                <w:bCs/>
              </w:rPr>
              <w:t xml:space="preserve">8.30</w:t>
            </w:r>
          </w:p>
        </w:tc>
      </w:tr>
      <w:tr>
        <w:tc>
          <w:tcPr/>
          <w:p>
            <w:pPr>
              <w:pStyle w:val="Compact"/>
            </w:pPr>
            <w:r>
              <w:t xml:space="preserve">Free cash flow</w:t>
            </w:r>
          </w:p>
        </w:tc>
        <w:tc>
          <w:tcPr/>
          <w:p>
            <w:pPr>
              <w:pStyle w:val="Compact"/>
              <w:jc w:val="right"/>
            </w:pPr>
            <w:r>
              <w:rPr>
                <w:b/>
                <w:bCs/>
              </w:rPr>
              <w:t xml:space="preserve">~$2.0B</w:t>
            </w:r>
          </w:p>
        </w:tc>
      </w:tr>
    </w:tbl>
    <w:p>
      <w:pPr>
        <w:pStyle w:val="BodyText"/>
      </w:pPr>
      <w:r>
        <w:t xml:space="preserve">For the second half specifically, management is targeting</w:t>
      </w:r>
      <w:r>
        <w:t xml:space="preserve"> </w:t>
      </w:r>
      <w:r>
        <w:rPr>
          <w:b/>
          <w:bCs/>
        </w:rPr>
        <w:t xml:space="preserve">3%–5% organic growth</w:t>
      </w:r>
      <w:r>
        <w:t xml:space="preserve">,</w:t>
      </w:r>
      <w:r>
        <w:t xml:space="preserve"> </w:t>
      </w:r>
      <w:r>
        <w:rPr>
          <w:b/>
          <w:bCs/>
        </w:rPr>
        <w:t xml:space="preserve">20.9%–21.6% segment margin</w:t>
      </w:r>
      <w:r>
        <w:t xml:space="preserve">,</w:t>
      </w:r>
      <w:r>
        <w:t xml:space="preserve"> </w:t>
      </w:r>
      <m:oMath>
        <m:r>
          <m:t>4.40</m:t>
        </m:r>
        <m:r>
          <m:rPr>
            <m:sty m:val="p"/>
          </m:rPr>
          <m:t>–</m:t>
        </m:r>
      </m:oMath>
      <w:r>
        <w:rPr>
          <w:b/>
          <w:bCs/>
        </w:rPr>
        <w:t xml:space="preserve">4.70 of adjusted EPS</w:t>
      </w:r>
      <w:r>
        <w:t xml:space="preserve">, and approximately</w:t>
      </w:r>
      <w:r>
        <w:t xml:space="preserve"> </w:t>
      </w:r>
      <w:r>
        <w:rPr>
          <w:b/>
          <w:bCs/>
        </w:rPr>
        <w:t xml:space="preserve">$1.5B of free cash flow</w:t>
      </w:r>
      <w:r>
        <w:t xml:space="preserve">. Accordingly, the July 23 report needs to demonstrate that the company can exit the first half with enough growth, backlog conversion, margin actions, and cash generation to support a meaningfully stronger back half.</w:t>
      </w:r>
    </w:p>
    <w:bookmarkEnd w:id="9"/>
    <w:bookmarkStart w:id="15" w:name="what-matters-most"/>
    <w:p>
      <w:pPr>
        <w:pStyle w:val="Heading2"/>
      </w:pPr>
      <w:r>
        <w:t xml:space="preserve">What matters most</w:t>
      </w:r>
    </w:p>
    <w:bookmarkStart w:id="10" w:name="X5aec7ab5bdb1cdacf74c6bc61c4972e729a2e98"/>
    <w:p>
      <w:pPr>
        <w:pStyle w:val="Heading3"/>
      </w:pPr>
      <w:r>
        <w:t xml:space="preserve">1. Full-year guidance credibility is the headline</w:t>
      </w:r>
    </w:p>
    <w:p>
      <w:pPr>
        <w:pStyle w:val="FirstParagraph"/>
      </w:pPr>
      <w:r>
        <w:t xml:space="preserve">HON reaffirmed its post-spin outlook on June 8 and updated per-share figures on July 8 solely to reflect the</w:t>
      </w:r>
      <w:r>
        <w:t xml:space="preserve"> </w:t>
      </w:r>
      <w:r>
        <w:rPr>
          <w:b/>
          <w:bCs/>
        </w:rPr>
        <w:t xml:space="preserve">1-for-2 reverse stock split</w:t>
      </w:r>
      <w:r>
        <w:t xml:space="preserve"> </w:t>
      </w:r>
      <w:r>
        <w:t xml:space="preserve">effective June 29. The key benchmark is therefore not whether EPS mechanically clears an old estimate, but whether management maintains:</w:t>
      </w:r>
    </w:p>
    <w:p>
      <w:pPr>
        <w:pStyle w:val="Compact"/>
        <w:numPr>
          <w:ilvl w:val="0"/>
          <w:numId w:val="1001"/>
        </w:numPr>
      </w:pPr>
      <w:r>
        <w:rPr>
          <w:b/>
          <w:bCs/>
        </w:rPr>
        <w:t xml:space="preserve">2%–3% full-year organic growth</w:t>
      </w:r>
    </w:p>
    <w:p>
      <w:pPr>
        <w:pStyle w:val="Compact"/>
        <w:numPr>
          <w:ilvl w:val="0"/>
          <w:numId w:val="1001"/>
        </w:numPr>
      </w:pPr>
      <w:r>
        <w:rPr>
          <w:b/>
          <w:bCs/>
        </w:rPr>
        <w:t xml:space="preserve">220–270 bps of segment-margin expansion</w:t>
      </w:r>
    </w:p>
    <w:p>
      <w:pPr>
        <w:pStyle w:val="Compact"/>
        <w:numPr>
          <w:ilvl w:val="0"/>
          <w:numId w:val="1001"/>
        </w:numPr>
      </w:pPr>
      <m:oMath>
        <m:r>
          <m:t>7.90</m:t>
        </m:r>
        <m:r>
          <m:rPr>
            <m:sty m:val="p"/>
          </m:rPr>
          <m:t>–</m:t>
        </m:r>
      </m:oMath>
      <w:r>
        <w:rPr>
          <w:b/>
          <w:bCs/>
        </w:rPr>
        <w:t xml:space="preserve">8.30 adjusted EPS</w:t>
      </w:r>
    </w:p>
    <w:p>
      <w:pPr>
        <w:pStyle w:val="Compact"/>
        <w:numPr>
          <w:ilvl w:val="0"/>
          <w:numId w:val="1001"/>
        </w:numPr>
      </w:pPr>
      <w:r>
        <w:rPr>
          <w:b/>
          <w:bCs/>
        </w:rPr>
        <w:t xml:space="preserve">~$2.0B free cash flow</w:t>
      </w:r>
    </w:p>
    <w:p>
      <w:pPr>
        <w:pStyle w:val="FirstParagraph"/>
      </w:pPr>
      <w:r>
        <w:t xml:space="preserve">The second-half framework embeds an acceleration in both organic growth and profitability. Any reduction to that back-half confidence—particularly in PA&amp;T, Building Automation demand, or the cadence of stranded-cost removal—would likely matter more to the stock than the reported 2Q EPS number.</w:t>
      </w:r>
    </w:p>
    <w:bookmarkEnd w:id="10"/>
    <w:bookmarkStart w:id="11" w:name="Xaffd31efd938573f63ab4a2a2fe1d90114e32e4"/>
    <w:p>
      <w:pPr>
        <w:pStyle w:val="Heading3"/>
      </w:pPr>
      <w:r>
        <w:t xml:space="preserve">2. PA&amp;T is the swing factor</w:t>
      </w:r>
    </w:p>
    <w:p>
      <w:pPr>
        <w:pStyle w:val="FirstParagraph"/>
      </w:pPr>
      <w:r>
        <w:t xml:space="preserve">PA&amp;T was the weak spot in 1Q: organic sales declined</w:t>
      </w:r>
      <w:r>
        <w:t xml:space="preserve"> </w:t>
      </w:r>
      <w:r>
        <w:rPr>
          <w:b/>
          <w:bCs/>
        </w:rPr>
        <w:t xml:space="preserve">6%</w:t>
      </w:r>
      <w:r>
        <w:t xml:space="preserve">, following delayed refining-catalyst shipments, automation-service delays, and Middle East disruption. Management nevertheless expected the segment to be roughly flat for 2026 because of an anticipated</w:t>
      </w:r>
      <w:r>
        <w:t xml:space="preserve"> </w:t>
      </w:r>
      <w:r>
        <w:rPr>
          <w:b/>
          <w:bCs/>
        </w:rPr>
        <w:t xml:space="preserve">high-single-digit second-half growth ramp</w:t>
      </w:r>
      <w:r>
        <w:t xml:space="preserve">.</w:t>
      </w:r>
    </w:p>
    <w:p>
      <w:pPr>
        <w:pStyle w:val="BodyText"/>
      </w:pPr>
      <w:r>
        <w:t xml:space="preserve">The bullish case remains grounded in backlog and projects rather than a purely macro-driven recovery:</w:t>
      </w:r>
    </w:p>
    <w:p>
      <w:pPr>
        <w:pStyle w:val="Compact"/>
        <w:numPr>
          <w:ilvl w:val="0"/>
          <w:numId w:val="1002"/>
        </w:numPr>
      </w:pPr>
      <w:r>
        <w:t xml:space="preserve">PA&amp;T backlog was supported by strong process-technology orders and LNG activity.</w:t>
      </w:r>
    </w:p>
    <w:p>
      <w:pPr>
        <w:pStyle w:val="Compact"/>
        <w:numPr>
          <w:ilvl w:val="0"/>
          <w:numId w:val="1002"/>
        </w:numPr>
      </w:pPr>
      <w:r>
        <w:t xml:space="preserve">Management said it had secured more than</w:t>
      </w:r>
      <w:r>
        <w:t xml:space="preserve"> </w:t>
      </w:r>
      <w:r>
        <w:rPr>
          <w:b/>
          <w:bCs/>
        </w:rPr>
        <w:t xml:space="preserve">$2B of project wins</w:t>
      </w:r>
      <w:r>
        <w:t xml:space="preserve"> </w:t>
      </w:r>
      <w:r>
        <w:t xml:space="preserve">over the preceding three quarters, including LNG, refining, petrochemicals, and sustainable-aviation-fuel projects.</w:t>
      </w:r>
    </w:p>
    <w:p>
      <w:pPr>
        <w:pStyle w:val="Compact"/>
        <w:numPr>
          <w:ilvl w:val="0"/>
          <w:numId w:val="1002"/>
        </w:numPr>
      </w:pPr>
      <w:r>
        <w:t xml:space="preserve">Catalyst reloads, process-automation upgrades, and service activity were disrupted in the first half, creating a potential recovery opportunity—but also execution risk.</w:t>
      </w:r>
    </w:p>
    <w:p>
      <w:pPr>
        <w:pStyle w:val="FirstParagraph"/>
      </w:pPr>
      <w:r>
        <w:rPr>
          <w:b/>
          <w:bCs/>
        </w:rPr>
        <w:t xml:space="preserve">Questions for the call</w:t>
      </w:r>
    </w:p>
    <w:p>
      <w:pPr>
        <w:pStyle w:val="Compact"/>
        <w:numPr>
          <w:ilvl w:val="0"/>
          <w:numId w:val="1003"/>
        </w:numPr>
      </w:pPr>
      <w:r>
        <w:t xml:space="preserve">Has Middle East-related shipment and service disruption eased as expected?</w:t>
      </w:r>
    </w:p>
    <w:p>
      <w:pPr>
        <w:pStyle w:val="Compact"/>
        <w:numPr>
          <w:ilvl w:val="0"/>
          <w:numId w:val="1003"/>
        </w:numPr>
      </w:pPr>
      <w:r>
        <w:t xml:space="preserve">Are delayed catalyst shipments now scheduled for 2H, or has timing slipped further?</w:t>
      </w:r>
    </w:p>
    <w:p>
      <w:pPr>
        <w:pStyle w:val="Compact"/>
        <w:numPr>
          <w:ilvl w:val="0"/>
          <w:numId w:val="1003"/>
        </w:numPr>
      </w:pPr>
      <w:r>
        <w:t xml:space="preserve">Is management still confident in high-single-digit PA&amp;T growth in the back half?</w:t>
      </w:r>
    </w:p>
    <w:p>
      <w:pPr>
        <w:pStyle w:val="Compact"/>
        <w:numPr>
          <w:ilvl w:val="0"/>
          <w:numId w:val="1003"/>
        </w:numPr>
      </w:pPr>
      <w:r>
        <w:t xml:space="preserve">What does the order pipeline say about LNG conversion and 2027 catalyst/service demand?</w:t>
      </w:r>
    </w:p>
    <w:p>
      <w:pPr>
        <w:pStyle w:val="FirstParagraph"/>
      </w:pPr>
      <w:r>
        <w:t xml:space="preserve">A maintained PA&amp;T outlook would validate management’s “first-half trough, second-half conversion” thesis. A weaker outlook would put the full-year automation guide at risk.</w:t>
      </w:r>
    </w:p>
    <w:bookmarkEnd w:id="11"/>
    <w:bookmarkStart w:id="12" w:name="Xad0bdb8f523575a4687e426e05258569bacd5f5"/>
    <w:p>
      <w:pPr>
        <w:pStyle w:val="Heading3"/>
      </w:pPr>
      <w:r>
        <w:t xml:space="preserve">3. Building Automation needs to stay strong</w:t>
      </w:r>
    </w:p>
    <w:p>
      <w:pPr>
        <w:pStyle w:val="FirstParagraph"/>
      </w:pPr>
      <w:r>
        <w:t xml:space="preserve">Building Automation was the operational standout in 1Q, delivering</w:t>
      </w:r>
      <w:r>
        <w:t xml:space="preserve"> </w:t>
      </w:r>
      <w:r>
        <w:rPr>
          <w:b/>
          <w:bCs/>
        </w:rPr>
        <w:t xml:space="preserve">8% organic sales growth</w:t>
      </w:r>
      <w:r>
        <w:t xml:space="preserve">,</w:t>
      </w:r>
      <w:r>
        <w:t xml:space="preserve"> </w:t>
      </w:r>
      <w:r>
        <w:rPr>
          <w:b/>
          <w:bCs/>
        </w:rPr>
        <w:t xml:space="preserve">9% order growth</w:t>
      </w:r>
      <w:r>
        <w:t xml:space="preserve">, and</w:t>
      </w:r>
      <w:r>
        <w:t xml:space="preserve"> </w:t>
      </w:r>
      <w:r>
        <w:rPr>
          <w:b/>
          <w:bCs/>
        </w:rPr>
        <w:t xml:space="preserve">40 bps of segment-margin expansion</w:t>
      </w:r>
      <w:r>
        <w:t xml:space="preserve">. Growth was led by building services, fire products, data centers, hospitality, and healthcare, while management cited continued share gains through product innovation and channel execution.</w:t>
      </w:r>
    </w:p>
    <w:p>
      <w:pPr>
        <w:pStyle w:val="BodyText"/>
      </w:pPr>
      <w:r>
        <w:t xml:space="preserve">For HON, this segment is the most important near-term counterweight to PA&amp;T volatility. Investors should look for:</w:t>
      </w:r>
    </w:p>
    <w:p>
      <w:pPr>
        <w:pStyle w:val="Compact"/>
        <w:numPr>
          <w:ilvl w:val="0"/>
          <w:numId w:val="1004"/>
        </w:numPr>
      </w:pPr>
      <w:r>
        <w:t xml:space="preserve">Continued high-single-digit or at least above-guide organic growth;</w:t>
      </w:r>
    </w:p>
    <w:p>
      <w:pPr>
        <w:pStyle w:val="Compact"/>
        <w:numPr>
          <w:ilvl w:val="0"/>
          <w:numId w:val="1004"/>
        </w:numPr>
      </w:pPr>
      <w:r>
        <w:t xml:space="preserve">Sustained strength in fire, service, and data-center-related demand;</w:t>
      </w:r>
    </w:p>
    <w:p>
      <w:pPr>
        <w:pStyle w:val="Compact"/>
        <w:numPr>
          <w:ilvl w:val="0"/>
          <w:numId w:val="1004"/>
        </w:numPr>
      </w:pPr>
      <w:r>
        <w:t xml:space="preserve">Evidence that pricing, volume leverage, and mix can keep expanding margins;</w:t>
      </w:r>
    </w:p>
    <w:p>
      <w:pPr>
        <w:pStyle w:val="Compact"/>
        <w:numPr>
          <w:ilvl w:val="0"/>
          <w:numId w:val="1004"/>
        </w:numPr>
      </w:pPr>
      <w:r>
        <w:t xml:space="preserve">Any signal that growth has broadened geographically or softened in a particular vertical.</w:t>
      </w:r>
    </w:p>
    <w:p>
      <w:pPr>
        <w:pStyle w:val="FirstParagraph"/>
      </w:pPr>
      <w:r>
        <w:t xml:space="preserve">The risk is not necessarily a sharp slowdown; it is that the market increasingly expects this business to remain a dependable growth engine while other parts of the portfolio reset.</w:t>
      </w:r>
    </w:p>
    <w:bookmarkEnd w:id="12"/>
    <w:bookmarkStart w:id="13" w:name="Xee0781ba19ffc2a99b174a74c3b695c44546c35"/>
    <w:p>
      <w:pPr>
        <w:pStyle w:val="Heading3"/>
      </w:pPr>
      <w:r>
        <w:t xml:space="preserve">4. Industrial Automation’s recovery must become more visible</w:t>
      </w:r>
    </w:p>
    <w:p>
      <w:pPr>
        <w:pStyle w:val="FirstParagraph"/>
      </w:pPr>
      <w:r>
        <w:t xml:space="preserve">Industrial Automation delivered only</w:t>
      </w:r>
      <w:r>
        <w:t xml:space="preserve"> </w:t>
      </w:r>
      <w:r>
        <w:rPr>
          <w:b/>
          <w:bCs/>
        </w:rPr>
        <w:t xml:space="preserve">1% organic growth</w:t>
      </w:r>
      <w:r>
        <w:t xml:space="preserve"> </w:t>
      </w:r>
      <w:r>
        <w:t xml:space="preserve">in 1Q, but orders increased</w:t>
      </w:r>
      <w:r>
        <w:t xml:space="preserve"> </w:t>
      </w:r>
      <w:r>
        <w:rPr>
          <w:b/>
          <w:bCs/>
        </w:rPr>
        <w:t xml:space="preserve">10%</w:t>
      </w:r>
      <w:r>
        <w:t xml:space="preserve">, helped by China and Europe. The business also posted a notable</w:t>
      </w:r>
      <w:r>
        <w:t xml:space="preserve"> </w:t>
      </w:r>
      <w:r>
        <w:rPr>
          <w:b/>
          <w:bCs/>
        </w:rPr>
        <w:t xml:space="preserve">260 bps</w:t>
      </w:r>
      <w:r>
        <w:t xml:space="preserve"> </w:t>
      </w:r>
      <w:r>
        <w:t xml:space="preserve">of margin expansion as productivity, pricing, and structural simplification outweighed modest sales growth.</w:t>
      </w:r>
    </w:p>
    <w:p>
      <w:pPr>
        <w:pStyle w:val="BodyText"/>
      </w:pPr>
      <w:r>
        <w:t xml:space="preserve">The portfolio is being simplified through the planned sales of Productivity Solutions &amp; Services and Warehouse &amp; Workflow Solutions. The remaining franchise is increasingly centered on sensing, measurement, metering, and gas detection.</w:t>
      </w:r>
    </w:p>
    <w:p>
      <w:pPr>
        <w:pStyle w:val="BodyText"/>
      </w:pPr>
      <w:r>
        <w:t xml:space="preserve">The July report should help establish whether Industrial Automation can transition from a margin-recovery story into a sustainable growth story. Key indicators:</w:t>
      </w:r>
    </w:p>
    <w:p>
      <w:pPr>
        <w:pStyle w:val="Compact"/>
        <w:numPr>
          <w:ilvl w:val="0"/>
          <w:numId w:val="1005"/>
        </w:numPr>
      </w:pPr>
      <w:r>
        <w:t xml:space="preserve">Demand recovery in China and Europe;</w:t>
      </w:r>
    </w:p>
    <w:p>
      <w:pPr>
        <w:pStyle w:val="Compact"/>
        <w:numPr>
          <w:ilvl w:val="0"/>
          <w:numId w:val="1005"/>
        </w:numPr>
      </w:pPr>
      <w:r>
        <w:t xml:space="preserve">U.S. short-cycle industrial conditions;</w:t>
      </w:r>
    </w:p>
    <w:p>
      <w:pPr>
        <w:pStyle w:val="Compact"/>
        <w:numPr>
          <w:ilvl w:val="0"/>
          <w:numId w:val="1005"/>
        </w:numPr>
      </w:pPr>
      <w:r>
        <w:t xml:space="preserve">Progress in sensing and measurement;</w:t>
      </w:r>
    </w:p>
    <w:p>
      <w:pPr>
        <w:pStyle w:val="Compact"/>
        <w:numPr>
          <w:ilvl w:val="0"/>
          <w:numId w:val="1005"/>
        </w:numPr>
      </w:pPr>
      <w:r>
        <w:t xml:space="preserve">Updated timing and economics of the PSS and WWS divestitures;</w:t>
      </w:r>
    </w:p>
    <w:p>
      <w:pPr>
        <w:pStyle w:val="Compact"/>
        <w:numPr>
          <w:ilvl w:val="0"/>
          <w:numId w:val="1005"/>
        </w:numPr>
      </w:pPr>
      <w:r>
        <w:t xml:space="preserve">Whether productivity-led margin gains are durable after separation-related actions taper.</w:t>
      </w:r>
    </w:p>
    <w:bookmarkEnd w:id="13"/>
    <w:bookmarkStart w:id="14" w:name="X990bfe74f65d1b8b50803092643f8fcfdd9c173"/>
    <w:p>
      <w:pPr>
        <w:pStyle w:val="Heading3"/>
      </w:pPr>
      <w:r>
        <w:t xml:space="preserve">5. Margin expansion is now central to the equity narrative</w:t>
      </w:r>
    </w:p>
    <w:p>
      <w:pPr>
        <w:pStyle w:val="FirstParagraph"/>
      </w:pPr>
      <w:r>
        <w:t xml:space="preserve">The post-spin outlook calls for</w:t>
      </w:r>
      <w:r>
        <w:t xml:space="preserve"> </w:t>
      </w:r>
      <w:r>
        <w:rPr>
          <w:b/>
          <w:bCs/>
        </w:rPr>
        <w:t xml:space="preserve">220–270 bps</w:t>
      </w:r>
      <w:r>
        <w:t xml:space="preserve"> </w:t>
      </w:r>
      <w:r>
        <w:t xml:space="preserve">of 2026 margin expansion—a large step up from the historical Honeywell framework. That target reflects a lower starting margin for the remaining automation company, accelerated stranded-cost removal, portfolio simplification, pricing, productivity, and a more favorable mix over time.</w:t>
      </w:r>
    </w:p>
    <w:p>
      <w:pPr>
        <w:pStyle w:val="BodyText"/>
      </w:pPr>
      <w:r>
        <w:t xml:space="preserve">The key issue is the</w:t>
      </w:r>
      <w:r>
        <w:t xml:space="preserve"> </w:t>
      </w:r>
      <w:r>
        <w:rPr>
          <w:b/>
          <w:bCs/>
        </w:rPr>
        <w:t xml:space="preserve">quality</w:t>
      </w:r>
      <w:r>
        <w:t xml:space="preserve"> </w:t>
      </w:r>
      <w:r>
        <w:t xml:space="preserve">of margin expansion:</w:t>
      </w:r>
    </w:p>
    <w:p>
      <w:pPr>
        <w:pStyle w:val="BodyText"/>
      </w:pPr>
      <w:r>
        <w:rPr>
          <w:b/>
          <w:bCs/>
        </w:rPr>
        <w:t xml:space="preserve">Constructive signals</w:t>
      </w:r>
    </w:p>
    <w:p>
      <w:pPr>
        <w:pStyle w:val="Compact"/>
        <w:numPr>
          <w:ilvl w:val="0"/>
          <w:numId w:val="1006"/>
        </w:numPr>
      </w:pPr>
      <w:r>
        <w:t xml:space="preserve">Margin improvement led by productivity, price/cost, volume, and mix;</w:t>
      </w:r>
    </w:p>
    <w:p>
      <w:pPr>
        <w:pStyle w:val="Compact"/>
        <w:numPr>
          <w:ilvl w:val="0"/>
          <w:numId w:val="1006"/>
        </w:numPr>
      </w:pPr>
      <w:r>
        <w:t xml:space="preserve">Continued removal of stranded costs without a rising disruption bill;</w:t>
      </w:r>
    </w:p>
    <w:p>
      <w:pPr>
        <w:pStyle w:val="Compact"/>
        <w:numPr>
          <w:ilvl w:val="0"/>
          <w:numId w:val="1006"/>
        </w:numPr>
      </w:pPr>
      <w:r>
        <w:t xml:space="preserve">PA&amp;T mix recovering as catalysts and higher-margin aftermarket activity normalize;</w:t>
      </w:r>
    </w:p>
    <w:p>
      <w:pPr>
        <w:pStyle w:val="Compact"/>
        <w:numPr>
          <w:ilvl w:val="0"/>
          <w:numId w:val="1006"/>
        </w:numPr>
      </w:pPr>
      <w:r>
        <w:t xml:space="preserve">Building Automation maintaining operating leverage.</w:t>
      </w:r>
    </w:p>
    <w:p>
      <w:pPr>
        <w:pStyle w:val="FirstParagraph"/>
      </w:pPr>
      <w:r>
        <w:rPr>
          <w:b/>
          <w:bCs/>
        </w:rPr>
        <w:t xml:space="preserve">Less constructive signals</w:t>
      </w:r>
    </w:p>
    <w:p>
      <w:pPr>
        <w:pStyle w:val="Compact"/>
        <w:numPr>
          <w:ilvl w:val="0"/>
          <w:numId w:val="1007"/>
        </w:numPr>
      </w:pPr>
      <w:r>
        <w:t xml:space="preserve">Margin expansion dependent mainly on temporary cost reductions;</w:t>
      </w:r>
    </w:p>
    <w:p>
      <w:pPr>
        <w:pStyle w:val="Compact"/>
        <w:numPr>
          <w:ilvl w:val="0"/>
          <w:numId w:val="1007"/>
        </w:numPr>
      </w:pPr>
      <w:r>
        <w:t xml:space="preserve">Further separation, divestiture, ERP, or restructuring costs;</w:t>
      </w:r>
    </w:p>
    <w:p>
      <w:pPr>
        <w:pStyle w:val="Compact"/>
        <w:numPr>
          <w:ilvl w:val="0"/>
          <w:numId w:val="1007"/>
        </w:numPr>
      </w:pPr>
      <w:r>
        <w:t xml:space="preserve">Rising inflation that pricing cannot offset;</w:t>
      </w:r>
    </w:p>
    <w:p>
      <w:pPr>
        <w:pStyle w:val="Compact"/>
        <w:numPr>
          <w:ilvl w:val="0"/>
          <w:numId w:val="1007"/>
        </w:numPr>
      </w:pPr>
      <w:r>
        <w:t xml:space="preserve">Weak service/catalyst revenue mix in PA&amp;T.</w:t>
      </w:r>
    </w:p>
    <w:bookmarkEnd w:id="14"/>
    <w:bookmarkEnd w:id="15"/>
    <w:bookmarkStart w:id="16" w:name="cash-flow-deserves-close-attention"/>
    <w:p>
      <w:pPr>
        <w:pStyle w:val="Heading2"/>
      </w:pPr>
      <w:r>
        <w:t xml:space="preserve">Cash flow deserves close attention</w:t>
      </w:r>
    </w:p>
    <w:p>
      <w:pPr>
        <w:pStyle w:val="FirstParagraph"/>
      </w:pPr>
      <w:r>
        <w:t xml:space="preserve">Cash flow was a weak point in 1Q. Operating cash flow from continuing operations was</w:t>
      </w:r>
      <w:r>
        <w:t xml:space="preserve"> </w:t>
      </w:r>
      <w:r>
        <w:rPr>
          <w:b/>
          <w:bCs/>
        </w:rPr>
        <w:t xml:space="preserve">negative $650M</w:t>
      </w:r>
      <w:r>
        <w:t xml:space="preserve">, with timing of Middle East collections, higher inventory, spin-related costs, and the Flexjet settlement contributing. Management still maintained its broader cash expectations.</w:t>
      </w:r>
    </w:p>
    <w:p>
      <w:pPr>
        <w:pStyle w:val="BodyText"/>
      </w:pPr>
      <w:r>
        <w:t xml:space="preserve">For the current HON framework, the company guides to roughly</w:t>
      </w:r>
      <w:r>
        <w:t xml:space="preserve"> </w:t>
      </w:r>
      <m:oMath>
        <m:r>
          <m:t>2.0</m:t>
        </m:r>
        <m:r>
          <m:t>B</m:t>
        </m:r>
        <m:r>
          <m:t>o</m:t>
        </m:r>
        <m:r>
          <m:t>f</m:t>
        </m:r>
        <m:r>
          <m:t>2026</m:t>
        </m:r>
        <m:r>
          <m:t>f</m:t>
        </m:r>
        <m:r>
          <m:t>r</m:t>
        </m:r>
        <m:r>
          <m:t>e</m:t>
        </m:r>
        <m:r>
          <m:t>e</m:t>
        </m:r>
        <m:r>
          <m:t>c</m:t>
        </m:r>
        <m:r>
          <m:t>a</m:t>
        </m:r>
        <m:r>
          <m:t>s</m:t>
        </m:r>
        <m:r>
          <m:t>h</m:t>
        </m:r>
        <m:r>
          <m:t>f</m:t>
        </m:r>
        <m:r>
          <m:t>l</m:t>
        </m:r>
        <m:r>
          <m:t>o</m:t>
        </m:r>
        <m:r>
          <m:t>w</m:t>
        </m:r>
        <m:r>
          <m:rPr>
            <m:sty m:val="p"/>
          </m:rPr>
          <m:t>*</m:t>
        </m:r>
        <m:r>
          <m:rPr>
            <m:sty m:val="p"/>
          </m:rPr>
          <m:t>*</m:t>
        </m:r>
        <m:r>
          <m:rPr>
            <m:sty m:val="p"/>
          </m:rPr>
          <m:t>,</m:t>
        </m:r>
        <m:r>
          <m:t>w</m:t>
        </m:r>
        <m:r>
          <m:t>i</m:t>
        </m:r>
        <m:r>
          <m:t>t</m:t>
        </m:r>
        <m:r>
          <m:t>h</m:t>
        </m:r>
        <m:r>
          <m:t>a</m:t>
        </m:r>
        <m:r>
          <m:t>p</m:t>
        </m:r>
        <m:r>
          <m:t>p</m:t>
        </m:r>
        <m:r>
          <m:t>r</m:t>
        </m:r>
        <m:r>
          <m:t>o</m:t>
        </m:r>
        <m:r>
          <m:t>x</m:t>
        </m:r>
        <m:r>
          <m:t>i</m:t>
        </m:r>
        <m:r>
          <m:t>m</m:t>
        </m:r>
        <m:r>
          <m:t>a</m:t>
        </m:r>
        <m:r>
          <m:t>t</m:t>
        </m:r>
        <m:r>
          <m:t>e</m:t>
        </m:r>
        <m:r>
          <m:t>l</m:t>
        </m:r>
        <m:r>
          <m:t>y</m:t>
        </m:r>
        <m:r>
          <m:rPr>
            <m:sty m:val="p"/>
          </m:rPr>
          <m:t>*</m:t>
        </m:r>
        <m:r>
          <m:rPr>
            <m:sty m:val="p"/>
          </m:rPr>
          <m:t>*</m:t>
        </m:r>
      </m:oMath>
      <w:r>
        <w:rPr>
          <w:b/>
          <w:bCs/>
        </w:rPr>
        <w:t xml:space="preserve">1.5B</w:t>
      </w:r>
      <w:r>
        <w:t xml:space="preserve"> </w:t>
      </w:r>
      <w:r>
        <w:t xml:space="preserve">expected in the second half. That makes working-capital normalization and collections a key issue for 2Q.</w:t>
      </w:r>
    </w:p>
    <w:p>
      <w:pPr>
        <w:pStyle w:val="BodyText"/>
      </w:pPr>
      <w:r>
        <w:t xml:space="preserve">Investors should focus on:</w:t>
      </w:r>
    </w:p>
    <w:p>
      <w:pPr>
        <w:pStyle w:val="Compact"/>
        <w:numPr>
          <w:ilvl w:val="0"/>
          <w:numId w:val="1008"/>
        </w:numPr>
      </w:pPr>
      <w:r>
        <w:t xml:space="preserve">Accounts-receivable collections, particularly in affected regions;</w:t>
      </w:r>
    </w:p>
    <w:p>
      <w:pPr>
        <w:pStyle w:val="Compact"/>
        <w:numPr>
          <w:ilvl w:val="0"/>
          <w:numId w:val="1008"/>
        </w:numPr>
      </w:pPr>
      <w:r>
        <w:t xml:space="preserve">Inventory trends and supply-chain normalization;</w:t>
      </w:r>
    </w:p>
    <w:p>
      <w:pPr>
        <w:pStyle w:val="Compact"/>
        <w:numPr>
          <w:ilvl w:val="0"/>
          <w:numId w:val="1008"/>
        </w:numPr>
      </w:pPr>
      <w:r>
        <w:t xml:space="preserve">Capital-expenditure cadence;</w:t>
      </w:r>
    </w:p>
    <w:p>
      <w:pPr>
        <w:pStyle w:val="Compact"/>
        <w:numPr>
          <w:ilvl w:val="0"/>
          <w:numId w:val="1008"/>
        </w:numPr>
      </w:pPr>
      <w:r>
        <w:t xml:space="preserve">Separation-cost payments and whether they remain consistent with the plan;</w:t>
      </w:r>
    </w:p>
    <w:p>
      <w:pPr>
        <w:pStyle w:val="Compact"/>
        <w:numPr>
          <w:ilvl w:val="0"/>
          <w:numId w:val="1008"/>
        </w:numPr>
      </w:pPr>
      <w:r>
        <w:t xml:space="preserve">Free-cash-flow conversion relative to earnings.</w:t>
      </w:r>
    </w:p>
    <w:p>
      <w:pPr>
        <w:pStyle w:val="FirstParagraph"/>
      </w:pPr>
      <w:r>
        <w:t xml:space="preserve">A weak 2Q cash result alone may be manageable if management can clearly attribute it to timing and reaffirm the second-half conversion. A weaker cash outlook would be more consequential because it would challenge the financial foundation of the new stand-alone model.</w:t>
      </w:r>
    </w:p>
    <w:bookmarkEnd w:id="16"/>
    <w:bookmarkStart w:id="17" w:name="Xe0e7ab27eca17a8659fe4509dbf06479f4a0e8d"/>
    <w:p>
      <w:pPr>
        <w:pStyle w:val="Heading2"/>
      </w:pPr>
      <w:r>
        <w:t xml:space="preserve">Portfolio and accounting items that can obscure the quarter</w:t>
      </w:r>
    </w:p>
    <w:p>
      <w:pPr>
        <w:pStyle w:val="FirstParagraph"/>
      </w:pPr>
      <w:r>
        <w:t xml:space="preserve">Several moving parts make simple year-over-year comparisons unreliable:</w:t>
      </w:r>
    </w:p>
    <w:p>
      <w:pPr>
        <w:numPr>
          <w:ilvl w:val="0"/>
          <w:numId w:val="1009"/>
        </w:numPr>
      </w:pPr>
      <w:r>
        <w:rPr>
          <w:b/>
          <w:bCs/>
        </w:rPr>
        <w:t xml:space="preserve">Aerospace spin-off:</w:t>
      </w:r>
      <w:r>
        <w:t xml:space="preserve"> </w:t>
      </w:r>
      <w:r>
        <w:t xml:space="preserve">HON separated Honeywell Aerospace on June 29. The 2Q release will include former Aerospace Technologies results, but HON’s forward outlook is for the remaining automation business.</w:t>
      </w:r>
    </w:p>
    <w:p>
      <w:pPr>
        <w:numPr>
          <w:ilvl w:val="0"/>
          <w:numId w:val="1009"/>
        </w:numPr>
      </w:pPr>
      <w:r>
        <w:rPr>
          <w:b/>
          <w:bCs/>
        </w:rPr>
        <w:t xml:space="preserve">Reverse stock split:</w:t>
      </w:r>
      <w:r>
        <w:t xml:space="preserve"> </w:t>
      </w:r>
      <w:r>
        <w:t xml:space="preserve">HON completed a</w:t>
      </w:r>
      <w:r>
        <w:t xml:space="preserve"> </w:t>
      </w:r>
      <w:r>
        <w:rPr>
          <w:b/>
          <w:bCs/>
        </w:rPr>
        <w:t xml:space="preserve">1-for-2 reverse split</w:t>
      </w:r>
      <w:r>
        <w:t xml:space="preserve"> </w:t>
      </w:r>
      <w:r>
        <w:t xml:space="preserve">on June 29. Historical per-share figures and current EPS guidance should be viewed on the revised share basis. The July 8 EPS “increase” was mechanical, not an improvement in operating guidance.</w:t>
      </w:r>
    </w:p>
    <w:p>
      <w:pPr>
        <w:numPr>
          <w:ilvl w:val="0"/>
          <w:numId w:val="1009"/>
        </w:numPr>
      </w:pPr>
      <w:r>
        <w:rPr>
          <w:b/>
          <w:bCs/>
        </w:rPr>
        <w:t xml:space="preserve">Adjusted-EPS definition change:</w:t>
      </w:r>
      <w:r>
        <w:t xml:space="preserve"> </w:t>
      </w:r>
      <w:r>
        <w:t xml:space="preserve">Beginning in 2Q, HON plans to exclude the full amount of pension income from adjusted EPS, rather than only pension mark-to-market effects. This reduces comparability with earlier reported adjusted EPS.</w:t>
      </w:r>
    </w:p>
    <w:p>
      <w:pPr>
        <w:numPr>
          <w:ilvl w:val="0"/>
          <w:numId w:val="1009"/>
        </w:numPr>
      </w:pPr>
      <w:r>
        <w:rPr>
          <w:b/>
          <w:bCs/>
        </w:rPr>
        <w:t xml:space="preserve">Quantinuum:</w:t>
      </w:r>
      <w:r>
        <w:t xml:space="preserve"> </w:t>
      </w:r>
      <w:r>
        <w:t xml:space="preserve">HON has changed its treatment of Quantinuum following its June IPO, adding another comparability issue in adjusted results.</w:t>
      </w:r>
    </w:p>
    <w:p>
      <w:pPr>
        <w:numPr>
          <w:ilvl w:val="0"/>
          <w:numId w:val="1009"/>
        </w:numPr>
      </w:pPr>
      <w:r>
        <w:rPr>
          <w:b/>
          <w:bCs/>
        </w:rPr>
        <w:t xml:space="preserve">Divestitures:</w:t>
      </w:r>
      <w:r>
        <w:t xml:space="preserve"> </w:t>
      </w:r>
      <w:r>
        <w:t xml:space="preserve">PSS and WWS remain planned divestitures, expected to close in the second half of 2026. Investors need clarity on transaction timing, separation costs, and the effect on the run-rate portfolio.</w:t>
      </w:r>
    </w:p>
    <w:p>
      <w:pPr>
        <w:numPr>
          <w:ilvl w:val="0"/>
          <w:numId w:val="1009"/>
        </w:numPr>
      </w:pPr>
      <w:r>
        <w:rPr>
          <w:b/>
          <w:bCs/>
        </w:rPr>
        <w:t xml:space="preserve">Johnson Matthey Catalyst Technologies acquisition:</w:t>
      </w:r>
      <w:r>
        <w:t xml:space="preserve"> </w:t>
      </w:r>
      <w:r>
        <w:t xml:space="preserve">The acquisition was expected to close by the end of July. Commentary on closing conditions, initial integration, purchase accounting, and the contribution to Process Technology will be relevant.</w:t>
      </w:r>
    </w:p>
    <w:bookmarkEnd w:id="17"/>
    <w:bookmarkStart w:id="18" w:name="stock-setup"/>
    <w:p>
      <w:pPr>
        <w:pStyle w:val="Heading2"/>
      </w:pPr>
      <w:r>
        <w:t xml:space="preserve">Stock setup</w:t>
      </w:r>
    </w:p>
    <w:p>
      <w:pPr>
        <w:pStyle w:val="FirstParagraph"/>
      </w:pPr>
      <w:r>
        <w:t xml:space="preserve">HON closed at</w:t>
      </w:r>
      <w:r>
        <w:t xml:space="preserve"> </w:t>
      </w:r>
      <w:r>
        <w:rPr>
          <w:b/>
          <w:bCs/>
        </w:rPr>
        <w:t xml:space="preserve">$233.03 on July 22</w:t>
      </w:r>
      <w:r>
        <w:t xml:space="preserve">, up about</w:t>
      </w:r>
      <w:r>
        <w:t xml:space="preserve"> </w:t>
      </w:r>
      <w:r>
        <w:rPr>
          <w:b/>
          <w:bCs/>
        </w:rPr>
        <w:t xml:space="preserve">2.3%</w:t>
      </w:r>
      <w:r>
        <w:t xml:space="preserve"> </w:t>
      </w:r>
      <w:r>
        <w:t xml:space="preserve">from its June 29 post-spin close and about</w:t>
      </w:r>
      <w:r>
        <w:t xml:space="preserve"> </w:t>
      </w:r>
      <w:r>
        <w:rPr>
          <w:b/>
          <w:bCs/>
        </w:rPr>
        <w:t xml:space="preserve">5.7%</w:t>
      </w:r>
      <w:r>
        <w:t xml:space="preserve"> </w:t>
      </w:r>
      <w:r>
        <w:t xml:space="preserve">from its July 8 close following the reverse-split guidance update.</w:t>
      </w:r>
    </w:p>
    <w:p>
      <w:pPr>
        <w:pStyle w:val="BodyText"/>
      </w:pPr>
      <w:r>
        <w:t xml:space="preserve">That modest appreciation suggests the market has not fully priced in a major fundamental re-rating ahead of the print. However, expectations are elevated around the new margin framework and second-half acceleration. The stock reaction is therefore likely to hinge on the durability of the 2026 setup rather than a headline quarterly EPS beat.</w:t>
      </w:r>
    </w:p>
    <w:bookmarkEnd w:id="18"/>
    <w:bookmarkStart w:id="19" w:name="bottom-line"/>
    <w:p>
      <w:pPr>
        <w:pStyle w:val="Heading2"/>
      </w:pPr>
      <w:r>
        <w:t xml:space="preserve">Bottom line</w:t>
      </w:r>
    </w:p>
    <w:p>
      <w:pPr>
        <w:pStyle w:val="FirstParagraph"/>
      </w:pPr>
      <w:r>
        <w:rPr>
          <w:b/>
          <w:bCs/>
        </w:rPr>
        <w:t xml:space="preserve">The central question for 2Q is whether HON can preserve the bridge to its back-half acceleration.</w:t>
      </w:r>
      <w:r>
        <w:t xml:space="preserve"> </w:t>
      </w:r>
      <w:r>
        <w:t xml:space="preserve">A constructive report would pair maintained guidance with evidence that:</w:t>
      </w:r>
    </w:p>
    <w:p>
      <w:pPr>
        <w:pStyle w:val="Compact"/>
        <w:numPr>
          <w:ilvl w:val="0"/>
          <w:numId w:val="1010"/>
        </w:numPr>
      </w:pPr>
      <w:r>
        <w:t xml:space="preserve">PA&amp;T delays are temporary and backlog conversion is intact;</w:t>
      </w:r>
    </w:p>
    <w:p>
      <w:pPr>
        <w:pStyle w:val="Compact"/>
        <w:numPr>
          <w:ilvl w:val="0"/>
          <w:numId w:val="1010"/>
        </w:numPr>
      </w:pPr>
      <w:r>
        <w:t xml:space="preserve">Building Automation remains a high-quality growth driver;</w:t>
      </w:r>
    </w:p>
    <w:p>
      <w:pPr>
        <w:pStyle w:val="Compact"/>
        <w:numPr>
          <w:ilvl w:val="0"/>
          <w:numId w:val="1010"/>
        </w:numPr>
      </w:pPr>
      <w:r>
        <w:t xml:space="preserve">Industrial Automation is recovering while margins continue to improve;</w:t>
      </w:r>
    </w:p>
    <w:p>
      <w:pPr>
        <w:pStyle w:val="Compact"/>
        <w:numPr>
          <w:ilvl w:val="0"/>
          <w:numId w:val="1010"/>
        </w:numPr>
      </w:pPr>
      <w:r>
        <w:t xml:space="preserve">Working capital and cash flow are normalizing;</w:t>
      </w:r>
    </w:p>
    <w:p>
      <w:pPr>
        <w:pStyle w:val="Compact"/>
        <w:numPr>
          <w:ilvl w:val="0"/>
          <w:numId w:val="1010"/>
        </w:numPr>
      </w:pPr>
      <w:r>
        <w:t xml:space="preserve">Separation, divestiture, and accounting noise are becoming more manageable.</w:t>
      </w:r>
    </w:p>
    <w:p>
      <w:pPr>
        <w:pStyle w:val="FirstParagraph"/>
      </w:pPr>
      <w:r>
        <w:t xml:space="preserve">The bearish outcome is a guide cut or weaker back-half posture driven by PA&amp;T slippage, a Building Automation slowdown, weaker cash conversion, or a margin bridge that relies too heavily on temporary cost actions. With the former conglomerate now split, this report is the first meaningful test of whether Honeywell Technologies can earn the valuation and financial profile of a focused automation compounder.</w:t>
      </w:r>
    </w:p>
    <w:bookmarkEnd w:id="19"/>
    <w:bookmarkEnd w:id="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2026-07-23T00:02:57Z</dcterms:created>
  <dcterms:modified xsi:type="dcterms:W3CDTF">2026-07-23T00:02:57Z</dcterms:modified>
</cp:coreProperties>
</file>

<file path=docProps/custom.xml><?xml version="1.0" encoding="utf-8"?>
<Properties xmlns="http://schemas.openxmlformats.org/officeDocument/2006/custom-properties" xmlns:vt="http://schemas.openxmlformats.org/officeDocument/2006/docPropsVTypes"/>
</file>