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-earnings-predictions--2026-07-23"/>
    <w:p>
      <w:pPr>
        <w:pStyle w:val="Heading1"/>
      </w:pPr>
      <w:r>
        <w:t xml:space="preserve">HON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~$9.55B vs. cons. $9.581B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-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~$2.50 vs. cons. $2.459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Segment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~19.5% vs. cons. 18.98%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8.15</m:t>
              </m:r>
              <m:r>
                <m:rPr>
                  <m:sty m:val="p"/>
                </m:rPr>
                <m:t>−</m:t>
              </m:r>
            </m:oMath>
            <w:r>
              <w:t xml:space="preserve">8.20 midpoint vs. cons. ~$8.10 (HON-only)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Net Sales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19.9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20.2B vs. cons. ~$19.58B (HON-only)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Segment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19.8%-20.3% vs. cons. 20.01%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Organic Growth / PA&amp;T Ramp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qualitative reaffirm 3%-5% H2; PA&amp;T acceleration commentary positive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estimate revisions upward on H2 PA&amp;T ramp; neutral bar limits fade risk; new HON entity position adjustments add noise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2026-07-25T02:01:29Z</dcterms:created>
  <dcterms:modified xsi:type="dcterms:W3CDTF">2026-07-25T02:01:29Z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