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Honeywell Technologies (HON)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Honeywell Technologies, Inc.</w:t>
            </w:r>
          </w:p>
        </w:tc>
      </w:tr>
      <w:tr>
        <w:tc>
          <w:tcPr>
            <w:tcW w:type="dxa" w:w="4320"/>
          </w:tcPr>
          <w:p>
            <w:r>
              <w:rPr>
                <w:rFonts w:ascii="Calibri" w:hAnsi="Calibri"/>
                <w:b/>
                <w:sz w:val="22"/>
              </w:rPr>
              <w:t>Ticker</w:t>
            </w:r>
          </w:p>
        </w:tc>
        <w:tc>
          <w:tcPr>
            <w:tcW w:type="dxa" w:w="4320"/>
          </w:tcPr>
          <w:p>
            <w:r>
              <w:rPr>
                <w:rFonts w:ascii="Calibri" w:hAnsi="Calibri"/>
                <w:sz w:val="22"/>
              </w:rPr>
              <w:t>HON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Note</w:t>
            </w:r>
          </w:p>
        </w:tc>
        <w:tc>
          <w:tcPr>
            <w:tcW w:type="dxa" w:w="4320"/>
          </w:tcPr>
          <w:p>
            <w:r>
              <w:rPr>
                <w:rFonts w:ascii="Calibri" w:hAnsi="Calibri"/>
                <w:sz w:val="22"/>
              </w:rPr>
              <w:t>HON completed the spin-off of Honeywell Aerospace (HONA) on June 29, 2026, and executed a 1-for-2 reverse stock split simultaneously. All figures below reflect Honeywell Technologies (RemainCo) — a pure-play automation company with three segments: Building Automation (BA), Industrial Automation (IA), and Process Automation &amp; Technology (PA&amp;T).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but nuanced — </w:t>
      </w:r>
      <w:r>
        <w:rPr>
          <w:rFonts w:ascii="Calibri" w:hAnsi="Calibri"/>
          <w:b/>
          <w:color w:val="525866"/>
          <w:sz w:val="22"/>
        </w:rPr>
        <w:t>consensus is a manageable bar on EPS</w:t>
      </w:r>
      <w:r>
        <w:rPr>
          <w:rFonts w:ascii="Calibri" w:hAnsi="Calibri"/>
          <w:color w:val="525866"/>
          <w:sz w:val="22"/>
        </w:rPr>
        <w:t xml:space="preserve"> for the first standalone RemainCo quarter, but the biggest swing factor is whether </w:t>
      </w:r>
      <w:r>
        <w:rPr>
          <w:rFonts w:ascii="Calibri" w:hAnsi="Calibri"/>
          <w:b/>
          <w:color w:val="525866"/>
          <w:sz w:val="22"/>
        </w:rPr>
        <w:t>PA&amp;T's second-half inflection is already visible in Q2 orders and backlog conversion</w:t>
      </w:r>
      <w:r>
        <w:rPr>
          <w:rFonts w:ascii="Calibri" w:hAnsi="Calibri"/>
          <w:color w:val="525866"/>
          <w:sz w:val="22"/>
        </w:rPr>
        <w:t>.</w:t>
      </w:r>
    </w:p>
    <w:p>
      <w:r>
        <w:rPr>
          <w:rFonts w:ascii="Calibri" w:hAnsi="Calibri"/>
          <w:color w:val="525866"/>
          <w:sz w:val="22"/>
        </w:rPr>
        <w:t xml:space="preserve">Heading into HON's first earnings as a pure-play automation company, the bar looks achievable on EPS but more uncertain on revenue, where the Q2 guide of 2–4% organic growth embedded a ~1% Middle East headwind in PA&amp;T that management subsequently indicated was tracking well below the low end of the guided range. </w:t>
      </w:r>
      <w:r>
        <w:rPr>
          <w:rFonts w:ascii="Calibri" w:hAnsi="Calibri"/>
          <w:b/>
          <w:color w:val="525866"/>
          <w:sz w:val="22"/>
        </w:rPr>
        <w:t>The Middle East situation improving faster than feared is the single most important positive catalyst</w:t>
      </w:r>
      <w:r>
        <w:rPr>
          <w:rFonts w:ascii="Calibri" w:hAnsi="Calibri"/>
          <w:color w:val="525866"/>
          <w:sz w:val="22"/>
        </w:rPr>
        <w:t xml:space="preserve"> — if PA&amp;T revenue comes in above the guided range, it would validate the second-half inflection thesis and likely drive upside to both revenue and segment margin. Guidance tone has shifted materially more confident since Q1 earnings: the June 8 Guidance Update Call and June 11 Investor Day introduced a three-year framework targeting 4–6% organic growth and 10%+ adjusted income growth through 2029, with management explicitly stating the EPS growth is “front-loaded.” </w:t>
      </w:r>
      <w:r>
        <w:rPr>
          <w:rFonts w:ascii="Calibri" w:hAnsi="Calibri"/>
          <w:b/>
          <w:color w:val="525866"/>
          <w:sz w:val="22"/>
        </w:rPr>
        <w:t>Estimate revisions have been broadly stable to slightly positive since Q1 earnings</w:t>
      </w:r>
      <w:r>
        <w:rPr>
          <w:rFonts w:ascii="Calibri" w:hAnsi="Calibri"/>
          <w:color w:val="525866"/>
          <w:sz w:val="22"/>
        </w:rPr>
        <w:t xml:space="preserve">, with the Q2 2026 EPS consensus at ~$2.46 vs. the guided midpoint of $2.40 (pre-reverse-split equivalent), suggesting the street is already pricing in modest outperformance. The stock (RemainCo HON) has traded roughly in line with the S&amp;P 500 since the June 29 spin-off at ~$228, reflecting a clean-slate re-rating as a pure-play automation name; the key wildcard is </w:t>
      </w:r>
      <w:r>
        <w:rPr>
          <w:rFonts w:ascii="Calibri" w:hAnsi="Calibri"/>
          <w:b/>
          <w:color w:val="525866"/>
          <w:sz w:val="22"/>
        </w:rPr>
        <w:t>whether the Johnson Matthey Catalyst Technologies acquisition closes in Q3 as guided</w:t>
      </w:r>
      <w:r>
        <w:rPr>
          <w:rFonts w:ascii="Calibri" w:hAnsi="Calibri"/>
          <w:color w:val="525866"/>
          <w:sz w:val="22"/>
        </w:rPr>
        <w:t xml:space="preserve"> and how management frames the stranded cost elimination trajectory, which is running significantly ahead of plan at &lt;$300M on day one vs. the prior ~$400M estimate.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 on EPS</w:t>
      </w:r>
      <w:r>
        <w:rPr>
          <w:rFonts w:ascii="Calibri" w:hAnsi="Calibri"/>
          <w:color w:val="525866"/>
          <w:sz w:val="22"/>
        </w:rPr>
        <w:t xml:space="preserve"> given the Q2 tax headwind is well-understood, but </w:t>
      </w:r>
      <w:r>
        <w:rPr>
          <w:rFonts w:ascii="Calibri" w:hAnsi="Calibri"/>
          <w:b/>
          <w:color w:val="525866"/>
          <w:sz w:val="22"/>
        </w:rPr>
        <w:t>segment margin is the bigger swing factor</w:t>
      </w:r>
      <w:r>
        <w:rPr>
          <w:rFonts w:ascii="Calibri" w:hAnsi="Calibri"/>
          <w:color w:val="525866"/>
          <w:sz w:val="22"/>
        </w:rPr>
        <w:t xml:space="preserve"> — any outperformance there (as in Q1) would signal the stranded cost removal is ahead of schedule and drive upside to the full-year framework.</w:t>
      </w:r>
    </w:p>
    <w:p>
      <w:pPr>
        <w:pStyle w:val="Heading3"/>
      </w:pPr>
      <w:r>
        <w:rPr>
          <w:rFonts w:ascii="Calibri" w:hAnsi="Calibri"/>
          <w:b/>
          <w:color w:val="3B4259"/>
          <w:sz w:val="24"/>
        </w:rPr>
        <w:t>Table 1 — Q2 2026 Current Quarter Snapshot (RemainCo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(Total, $B)</w:t>
            </w:r>
          </w:p>
        </w:tc>
        <w:tc>
          <w:tcPr>
            <w:tcW w:type="dxa" w:w="1234"/>
          </w:tcPr>
          <w:p>
            <w:r>
              <w:rPr>
                <w:rFonts w:ascii="Calibri" w:hAnsi="Calibri"/>
                <w:sz w:val="22"/>
              </w:rPr>
              <w:t>$9.145B</w:t>
            </w:r>
          </w:p>
        </w:tc>
        <w:tc>
          <w:tcPr>
            <w:tcW w:type="dxa" w:w="1234"/>
          </w:tcPr>
          <w:p>
            <w:r>
              <w:rPr>
                <w:rFonts w:ascii="Calibri" w:hAnsi="Calibri"/>
                <w:sz w:val="22"/>
              </w:rPr>
              <w:t>$9.325B</w:t>
            </w:r>
          </w:p>
        </w:tc>
        <w:tc>
          <w:tcPr>
            <w:tcW w:type="dxa" w:w="1234"/>
          </w:tcPr>
          <w:p>
            <w:r>
              <w:rPr>
                <w:rFonts w:ascii="Calibri" w:hAnsi="Calibri"/>
                <w:sz w:val="22"/>
              </w:rPr>
              <w:t>$9.581B</w:t>
            </w:r>
          </w:p>
        </w:tc>
        <w:tc>
          <w:tcPr>
            <w:tcW w:type="dxa" w:w="1234"/>
          </w:tcPr>
          <w:p>
            <w:r>
              <w:rPr>
                <w:rFonts w:ascii="Calibri" w:hAnsi="Calibri"/>
                <w:sz w:val="22"/>
              </w:rPr>
              <w:t>+2.7% YoY</w:t>
            </w:r>
          </w:p>
        </w:tc>
        <w:tc>
          <w:tcPr>
            <w:tcW w:type="dxa" w:w="1234"/>
          </w:tcPr>
          <w:p>
            <w:r>
              <w:rPr>
                <w:rFonts w:ascii="Calibri" w:hAnsi="Calibri"/>
                <w:sz w:val="22"/>
              </w:rPr>
              <w:t>Organic growth 2–4% (Q1 earnings guide); RemainCo full-year $19.9–20.2B</w:t>
            </w:r>
          </w:p>
        </w:tc>
        <w:tc>
          <w:tcPr>
            <w:tcW w:type="dxa" w:w="1234"/>
          </w:tcPr>
          <w:p>
            <w:r>
              <w:rPr>
                <w:rFonts w:ascii="Calibri" w:hAnsi="Calibri"/>
                <w:sz w:val="22"/>
              </w:rPr>
              <w:t>N/A — RemainCo guidance not directly comparable to legacy HON Q2 guide</w:t>
            </w:r>
          </w:p>
        </w:tc>
      </w:tr>
      <w:tr>
        <w:tc>
          <w:tcPr>
            <w:tcW w:type="dxa" w:w="1234"/>
          </w:tcPr>
          <w:p>
            <w:r>
              <w:rPr>
                <w:rFonts w:ascii="Calibri" w:hAnsi="Calibri"/>
                <w:sz w:val="22"/>
              </w:rPr>
              <w:t>Adj. EPS — Diluted Operating ($)</w:t>
            </w:r>
          </w:p>
        </w:tc>
        <w:tc>
          <w:tcPr>
            <w:tcW w:type="dxa" w:w="1234"/>
          </w:tcPr>
          <w:p>
            <w:r>
              <w:rPr>
                <w:rFonts w:ascii="Calibri" w:hAnsi="Calibri"/>
                <w:sz w:val="22"/>
              </w:rPr>
              <w:t>$2.45</w:t>
            </w:r>
          </w:p>
        </w:tc>
        <w:tc>
          <w:tcPr>
            <w:tcW w:type="dxa" w:w="1234"/>
          </w:tcPr>
          <w:p>
            <w:r>
              <w:rPr>
                <w:rFonts w:ascii="Calibri" w:hAnsi="Calibri"/>
                <w:sz w:val="22"/>
              </w:rPr>
              <w:t>$2.75</w:t>
            </w:r>
          </w:p>
        </w:tc>
        <w:tc>
          <w:tcPr>
            <w:tcW w:type="dxa" w:w="1234"/>
          </w:tcPr>
          <w:p>
            <w:r>
              <w:rPr>
                <w:rFonts w:ascii="Calibri" w:hAnsi="Calibri"/>
                <w:sz w:val="22"/>
              </w:rPr>
              <w:t>$2.46</w:t>
            </w:r>
          </w:p>
        </w:tc>
        <w:tc>
          <w:tcPr>
            <w:tcW w:type="dxa" w:w="1234"/>
          </w:tcPr>
          <w:p>
            <w:r>
              <w:rPr>
                <w:rFonts w:ascii="Calibri" w:hAnsi="Calibri"/>
                <w:sz w:val="22"/>
              </w:rPr>
              <w:t>-10.5% YoY</w:t>
            </w:r>
          </w:p>
        </w:tc>
        <w:tc>
          <w:tcPr>
            <w:tcW w:type="dxa" w:w="1234"/>
          </w:tcPr>
          <w:p>
            <w:r>
              <w:rPr>
                <w:rFonts w:ascii="Calibri" w:hAnsi="Calibri"/>
                <w:sz w:val="22"/>
              </w:rPr>
              <w:t>$2.40 midpoint (Q1 earnings; includes ~$0.16 tax headwind; normalized ~$2.55)</w:t>
            </w:r>
          </w:p>
        </w:tc>
        <w:tc>
          <w:tcPr>
            <w:tcW w:type="dxa" w:w="1234"/>
          </w:tcPr>
          <w:p>
            <w:r>
              <w:rPr>
                <w:rFonts w:ascii="Calibri" w:hAnsi="Calibri"/>
                <w:sz w:val="22"/>
              </w:rPr>
              <w:t>+2.5% above guided midpoint</w:t>
            </w:r>
          </w:p>
        </w:tc>
      </w:tr>
      <w:tr>
        <w:tc>
          <w:tcPr>
            <w:tcW w:type="dxa" w:w="1234"/>
          </w:tcPr>
          <w:p>
            <w:r>
              <w:rPr>
                <w:rFonts w:ascii="Calibri" w:hAnsi="Calibri"/>
                <w:sz w:val="22"/>
              </w:rPr>
              <w:t>Segment Margin (%)</w:t>
            </w:r>
          </w:p>
        </w:tc>
        <w:tc>
          <w:tcPr>
            <w:tcW w:type="dxa" w:w="1234"/>
          </w:tcPr>
          <w:p>
            <w:r>
              <w:rPr>
                <w:rFonts w:ascii="Calibri" w:hAnsi="Calibri"/>
                <w:sz w:val="22"/>
              </w:rPr>
              <w:t>19.57%</w:t>
            </w:r>
          </w:p>
        </w:tc>
        <w:tc>
          <w:tcPr>
            <w:tcW w:type="dxa" w:w="1234"/>
          </w:tcPr>
          <w:p>
            <w:r>
              <w:rPr>
                <w:rFonts w:ascii="Calibri" w:hAnsi="Calibri"/>
                <w:sz w:val="22"/>
              </w:rPr>
              <w:t>18.02%</w:t>
            </w:r>
          </w:p>
        </w:tc>
        <w:tc>
          <w:tcPr>
            <w:tcW w:type="dxa" w:w="1234"/>
          </w:tcPr>
          <w:p>
            <w:r>
              <w:rPr>
                <w:rFonts w:ascii="Calibri" w:hAnsi="Calibri"/>
                <w:sz w:val="22"/>
              </w:rPr>
              <w:t>19.63%</w:t>
            </w:r>
          </w:p>
        </w:tc>
        <w:tc>
          <w:tcPr>
            <w:tcW w:type="dxa" w:w="1234"/>
          </w:tcPr>
          <w:p>
            <w:r>
              <w:rPr>
                <w:rFonts w:ascii="Calibri" w:hAnsi="Calibri"/>
                <w:sz w:val="22"/>
              </w:rPr>
              <w:t>+161 bps YoY</w:t>
            </w:r>
          </w:p>
        </w:tc>
        <w:tc>
          <w:tcPr>
            <w:tcW w:type="dxa" w:w="1234"/>
          </w:tcPr>
          <w:p>
            <w:r>
              <w:rPr>
                <w:rFonts w:ascii="Calibri" w:hAnsi="Calibri"/>
                <w:sz w:val="22"/>
              </w:rPr>
              <w:t>22.2–22.5% (Q1 earnings guide; legacy HON incl. Aerospace)</w:t>
            </w:r>
          </w:p>
        </w:tc>
        <w:tc>
          <w:tcPr>
            <w:tcW w:type="dxa" w:w="1234"/>
          </w:tcPr>
          <w:p>
            <w:r>
              <w:rPr>
                <w:rFonts w:ascii="Calibri" w:hAnsi="Calibri"/>
                <w:sz w:val="22"/>
              </w:rPr>
              <w:t>N/A — RemainCo segment margin guide is ~20% for full year; Q2 not separately guided post-spin</w:t>
            </w:r>
          </w:p>
        </w:tc>
      </w:tr>
      <w:tr>
        <w:tc>
          <w:tcPr>
            <w:tcW w:type="dxa" w:w="1234"/>
          </w:tcPr>
          <w:p>
            <w:r>
              <w:rPr>
                <w:rFonts w:ascii="Calibri" w:hAnsi="Calibri"/>
                <w:sz w:val="22"/>
              </w:rPr>
              <w:t>Organic Growth (%)</w:t>
            </w:r>
          </w:p>
        </w:tc>
        <w:tc>
          <w:tcPr>
            <w:tcW w:type="dxa" w:w="1234"/>
          </w:tcPr>
          <w:p>
            <w:r>
              <w:rPr>
                <w:rFonts w:ascii="Calibri" w:hAnsi="Calibri"/>
                <w:sz w:val="22"/>
              </w:rPr>
              <w:t>+1%</w:t>
            </w:r>
          </w:p>
        </w:tc>
        <w:tc>
          <w:tcPr>
            <w:tcW w:type="dxa" w:w="1234"/>
          </w:tcPr>
          <w:p>
            <w:r>
              <w:rPr>
                <w:rFonts w:ascii="Calibri" w:hAnsi="Calibri"/>
                <w:sz w:val="22"/>
              </w:rPr>
              <w:t>+5%</w:t>
            </w:r>
          </w:p>
        </w:tc>
        <w:tc>
          <w:tcPr>
            <w:tcW w:type="dxa" w:w="1234"/>
          </w:tcPr>
          <w:p>
            <w:r>
              <w:rPr>
                <w:rFonts w:ascii="Calibri" w:hAnsi="Calibri"/>
                <w:sz w:val="22"/>
              </w:rPr>
              <w:t>+0.4%</w:t>
            </w:r>
          </w:p>
        </w:tc>
        <w:tc>
          <w:tcPr>
            <w:tcW w:type="dxa" w:w="1234"/>
          </w:tcPr>
          <w:p>
            <w:r>
              <w:rPr>
                <w:rFonts w:ascii="Calibri" w:hAnsi="Calibri"/>
                <w:sz w:val="22"/>
              </w:rPr>
              <w:t>-460 bps YoY</w:t>
            </w:r>
          </w:p>
        </w:tc>
        <w:tc>
          <w:tcPr>
            <w:tcW w:type="dxa" w:w="1234"/>
          </w:tcPr>
          <w:p>
            <w:r>
              <w:rPr>
                <w:rFonts w:ascii="Calibri" w:hAnsi="Calibri"/>
                <w:sz w:val="22"/>
              </w:rPr>
              <w:t>2–4% (Q1 earnings guide)</w:t>
            </w:r>
          </w:p>
        </w:tc>
        <w:tc>
          <w:tcPr>
            <w:tcW w:type="dxa" w:w="1234"/>
          </w:tcPr>
          <w:p>
            <w:r>
              <w:rPr>
                <w:rFonts w:ascii="Calibri" w:hAnsi="Calibri"/>
                <w:sz w:val="22"/>
              </w:rPr>
              <w:t>Below midpoint of guide</w:t>
            </w:r>
          </w:p>
        </w:tc>
      </w:tr>
      <w:tr>
        <w:tc>
          <w:tcPr>
            <w:tcW w:type="dxa" w:w="1234"/>
          </w:tcPr>
          <w:p>
            <w:r>
              <w:rPr>
                <w:rFonts w:ascii="Calibri" w:hAnsi="Calibri"/>
                <w:sz w:val="22"/>
              </w:rPr>
              <w:t>Net Sales — Building Automation ($B)</w:t>
            </w:r>
          </w:p>
        </w:tc>
        <w:tc>
          <w:tcPr>
            <w:tcW w:type="dxa" w:w="1234"/>
          </w:tcPr>
          <w:p>
            <w:r>
              <w:rPr>
                <w:rFonts w:ascii="Calibri" w:hAnsi="Calibri"/>
                <w:sz w:val="22"/>
              </w:rPr>
              <w:t>$1.882B</w:t>
            </w:r>
          </w:p>
        </w:tc>
        <w:tc>
          <w:tcPr>
            <w:tcW w:type="dxa" w:w="1234"/>
          </w:tcPr>
          <w:p>
            <w:r>
              <w:rPr>
                <w:rFonts w:ascii="Calibri" w:hAnsi="Calibri"/>
                <w:sz w:val="22"/>
              </w:rPr>
              <w:t>$1.826B</w:t>
            </w:r>
          </w:p>
        </w:tc>
        <w:tc>
          <w:tcPr>
            <w:tcW w:type="dxa" w:w="1234"/>
          </w:tcPr>
          <w:p>
            <w:r>
              <w:rPr>
                <w:rFonts w:ascii="Calibri" w:hAnsi="Calibri"/>
                <w:sz w:val="22"/>
              </w:rPr>
              <w:t>$1.955B</w:t>
            </w:r>
          </w:p>
        </w:tc>
        <w:tc>
          <w:tcPr>
            <w:tcW w:type="dxa" w:w="1234"/>
          </w:tcPr>
          <w:p>
            <w:r>
              <w:rPr>
                <w:rFonts w:ascii="Calibri" w:hAnsi="Calibri"/>
                <w:sz w:val="22"/>
              </w:rPr>
              <w:t>+7.1% YoY</w:t>
            </w:r>
          </w:p>
        </w:tc>
        <w:tc>
          <w:tcPr>
            <w:tcW w:type="dxa" w:w="1234"/>
          </w:tcPr>
          <w:p>
            <w:r>
              <w:rPr>
                <w:rFonts w:ascii="Calibri" w:hAnsi="Calibri"/>
                <w:sz w:val="22"/>
              </w:rPr>
              <w:t>Mid-single-digit plus organic growth</w:t>
            </w:r>
          </w:p>
        </w:tc>
        <w:tc>
          <w:tcPr>
            <w:tcW w:type="dxa" w:w="1234"/>
          </w:tcPr>
          <w:p>
            <w:r>
              <w:rPr>
                <w:rFonts w:ascii="Calibri" w:hAnsi="Calibri"/>
                <w:sz w:val="22"/>
              </w:rPr>
              <w:t>In line with guide</w:t>
            </w:r>
          </w:p>
        </w:tc>
      </w:tr>
      <w:tr>
        <w:tc>
          <w:tcPr>
            <w:tcW w:type="dxa" w:w="1234"/>
          </w:tcPr>
          <w:p>
            <w:r>
              <w:rPr>
                <w:rFonts w:ascii="Calibri" w:hAnsi="Calibri"/>
                <w:sz w:val="22"/>
              </w:rPr>
              <w:t>Net Sales — Process Automation &amp; Technology ($B)</w:t>
            </w:r>
          </w:p>
        </w:tc>
        <w:tc>
          <w:tcPr>
            <w:tcW w:type="dxa" w:w="1234"/>
          </w:tcPr>
          <w:p>
            <w:r>
              <w:rPr>
                <w:rFonts w:ascii="Calibri" w:hAnsi="Calibri"/>
                <w:sz w:val="22"/>
              </w:rPr>
              <w:t>$1.513B</w:t>
            </w:r>
          </w:p>
        </w:tc>
        <w:tc>
          <w:tcPr>
            <w:tcW w:type="dxa" w:w="1234"/>
          </w:tcPr>
          <w:p>
            <w:r>
              <w:rPr>
                <w:rFonts w:ascii="Calibri" w:hAnsi="Calibri"/>
                <w:sz w:val="22"/>
              </w:rPr>
              <w:t>$1.613B</w:t>
            </w:r>
          </w:p>
        </w:tc>
        <w:tc>
          <w:tcPr>
            <w:tcW w:type="dxa" w:w="1234"/>
          </w:tcPr>
          <w:p>
            <w:r>
              <w:rPr>
                <w:rFonts w:ascii="Calibri" w:hAnsi="Calibri"/>
                <w:sz w:val="22"/>
              </w:rPr>
              <w:t>$1.566B</w:t>
            </w:r>
          </w:p>
        </w:tc>
        <w:tc>
          <w:tcPr>
            <w:tcW w:type="dxa" w:w="1234"/>
          </w:tcPr>
          <w:p>
            <w:r>
              <w:rPr>
                <w:rFonts w:ascii="Calibri" w:hAnsi="Calibri"/>
                <w:sz w:val="22"/>
              </w:rPr>
              <w:t>-2.9% YoY</w:t>
            </w:r>
          </w:p>
        </w:tc>
        <w:tc>
          <w:tcPr>
            <w:tcW w:type="dxa" w:w="1234"/>
          </w:tcPr>
          <w:p>
            <w:r>
              <w:rPr>
                <w:rFonts w:ascii="Calibri" w:hAnsi="Calibri"/>
                <w:sz w:val="22"/>
              </w:rPr>
              <w:t>Slightly weaker than Q1 (Middle East pressure); roughly flat for full year</w:t>
            </w:r>
          </w:p>
        </w:tc>
        <w:tc>
          <w:tcPr>
            <w:tcW w:type="dxa" w:w="1234"/>
          </w:tcPr>
          <w:p>
            <w:r>
              <w:rPr>
                <w:rFonts w:ascii="Calibri" w:hAnsi="Calibri"/>
                <w:sz w:val="22"/>
              </w:rPr>
              <w:t>In line with guide</w:t>
            </w:r>
          </w:p>
        </w:tc>
      </w:tr>
      <w:tr>
        <w:tc>
          <w:tcPr>
            <w:tcW w:type="dxa" w:w="1234"/>
          </w:tcPr>
          <w:p>
            <w:r>
              <w:rPr>
                <w:rFonts w:ascii="Calibri" w:hAnsi="Calibri"/>
                <w:sz w:val="22"/>
              </w:rPr>
              <w:t>Free Cash Flow ($B)</w:t>
            </w:r>
          </w:p>
        </w:tc>
        <w:tc>
          <w:tcPr>
            <w:tcW w:type="dxa" w:w="1234"/>
          </w:tcPr>
          <w:p>
            <w:r>
              <w:rPr>
                <w:rFonts w:ascii="Calibri" w:hAnsi="Calibri"/>
                <w:sz w:val="22"/>
              </w:rPr>
              <w:t>-$0.873B</w:t>
            </w:r>
          </w:p>
        </w:tc>
        <w:tc>
          <w:tcPr>
            <w:tcW w:type="dxa" w:w="1234"/>
          </w:tcPr>
          <w:p>
            <w:r>
              <w:rPr>
                <w:rFonts w:ascii="Calibri" w:hAnsi="Calibri"/>
                <w:sz w:val="22"/>
              </w:rPr>
              <w:t>$1.016B</w:t>
            </w:r>
          </w:p>
        </w:tc>
        <w:tc>
          <w:tcPr>
            <w:tcW w:type="dxa" w:w="1234"/>
          </w:tcPr>
          <w:p>
            <w:r>
              <w:rPr>
                <w:rFonts w:ascii="Calibri" w:hAnsi="Calibri"/>
                <w:sz w:val="22"/>
              </w:rPr>
              <w:t>$0.668B</w:t>
            </w:r>
          </w:p>
        </w:tc>
        <w:tc>
          <w:tcPr>
            <w:tcW w:type="dxa" w:w="1234"/>
          </w:tcPr>
          <w:p>
            <w:r>
              <w:rPr>
                <w:rFonts w:ascii="Calibri" w:hAnsi="Calibri"/>
                <w:sz w:val="22"/>
              </w:rPr>
              <w:t>-34.2% YoY</w:t>
            </w:r>
          </w:p>
        </w:tc>
        <w:tc>
          <w:tcPr>
            <w:tcW w:type="dxa" w:w="1234"/>
          </w:tcPr>
          <w:p>
            <w:r>
              <w:rPr>
                <w:rFonts w:ascii="Calibri" w:hAnsi="Calibri"/>
                <w:sz w:val="22"/>
              </w:rPr>
              <w:t>~$2.0B full year (RemainCo); majority in H2 at ~95% conversion</w:t>
            </w:r>
          </w:p>
        </w:tc>
        <w:tc>
          <w:tcPr>
            <w:tcW w:type="dxa" w:w="1234"/>
          </w:tcPr>
          <w:p>
            <w:r>
              <w:rPr>
                <w:rFonts w:ascii="Calibri" w:hAnsi="Calibri"/>
                <w:sz w:val="22"/>
              </w:rPr>
              <w:t>N/A — H2 weighted; Q2 expected to remain below H2 run-rate</w:t>
            </w:r>
          </w:p>
        </w:tc>
      </w:tr>
    </w:tbl>
    <w:p>
      <w:r>
        <w:rPr>
          <w:rFonts w:ascii="Calibri" w:hAnsi="Calibri"/>
          <w:b/>
          <w:color w:val="525866"/>
          <w:sz w:val="22"/>
        </w:rPr>
        <w:t xml:space="preserve">Note: </w:t>
      </w:r>
      <w:r>
        <w:rPr>
          <w:rFonts w:ascii="Calibri" w:hAnsi="Calibri"/>
          <w:color w:val="525866"/>
          <w:sz w:val="22"/>
        </w:rPr>
        <w:t>Q2 2026 consensus estimates sourced from Visible Alpha. Net Sales and EPS figures reflect the legacy HON consolidated entity (including Aerospace) for Q1 2026 actual and Q2 2025 prior year, as RemainCo-only historical recast data is being introduced with Q2 2026 reporting. Q2 2026 consensus estimates reflect analyst models updated post-spin. The YoY EPS decline is driven primarily by the ~$0.16 tax rate headwind (Q2 effective tax rate ~21% vs. ~16% in Q2 2025) and the absence of Aerospace earnings post-spin, not underlying operational deterioration. On a normalized tax basis, Q2 EPS would be ~$2.55 at the midpoint.</w:t>
      </w:r>
    </w:p>
    <w:p>
      <w:pPr>
        <w:pStyle w:val="Heading3"/>
      </w:pPr>
      <w:r>
        <w:rPr>
          <w:rFonts w:ascii="Calibri" w:hAnsi="Calibri"/>
          <w:b/>
          <w:color w:val="3B4259"/>
          <w:sz w:val="24"/>
        </w:rPr>
        <w:t>Table 2 — Beat/Miss History: Adj. EPS &amp; Net Sales (Last 8 Quarters)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Net Sales Reported ($B)</w:t>
            </w:r>
          </w:p>
        </w:tc>
        <w:tc>
          <w:tcPr>
            <w:tcW w:type="dxa" w:w="960"/>
            <w:shd w:val="clear" w:color="auto" w:fill="3B4259"/>
          </w:tcPr>
          <w:p>
            <w:r>
              <w:rPr>
                <w:rFonts w:ascii="Calibri" w:hAnsi="Calibri"/>
                <w:b/>
                <w:color w:val="FFFFFF"/>
                <w:sz w:val="22"/>
              </w:rPr>
              <w:t>Sales Consensus ($B)</w:t>
            </w:r>
          </w:p>
        </w:tc>
        <w:tc>
          <w:tcPr>
            <w:tcW w:type="dxa" w:w="960"/>
            <w:shd w:val="clear" w:color="auto" w:fill="3B4259"/>
          </w:tcPr>
          <w:p>
            <w:r>
              <w:rPr>
                <w:rFonts w:ascii="Calibri" w:hAnsi="Calibri"/>
                <w:b/>
                <w:color w:val="FFFFFF"/>
                <w:sz w:val="22"/>
              </w:rPr>
              <w:t>Sales Surprise %</w:t>
            </w:r>
          </w:p>
        </w:tc>
        <w:tc>
          <w:tcPr>
            <w:tcW w:type="dxa" w:w="960"/>
            <w:shd w:val="clear" w:color="auto" w:fill="3B4259"/>
          </w:tcPr>
          <w:p>
            <w:r>
              <w:rPr>
                <w:rFonts w:ascii="Calibri" w:hAnsi="Calibri"/>
                <w:b/>
                <w:color w:val="FFFFFF"/>
                <w:sz w:val="22"/>
              </w:rPr>
              <w:t>Sales Result</w:t>
            </w:r>
          </w:p>
        </w:tc>
      </w:tr>
      <w:tr>
        <w:tc>
          <w:tcPr>
            <w:tcW w:type="dxa" w:w="960"/>
          </w:tcPr>
          <w:p>
            <w:r>
              <w:rPr>
                <w:rFonts w:ascii="Calibri" w:hAnsi="Calibri"/>
                <w:sz w:val="22"/>
              </w:rPr>
              <w:t>Q1 2026</w:t>
            </w:r>
          </w:p>
        </w:tc>
        <w:tc>
          <w:tcPr>
            <w:tcW w:type="dxa" w:w="960"/>
          </w:tcPr>
          <w:p>
            <w:r>
              <w:rPr>
                <w:rFonts w:ascii="Calibri" w:hAnsi="Calibri"/>
                <w:b/>
                <w:color w:val="30A46C"/>
                <w:sz w:val="22"/>
              </w:rPr>
              <w:t>$2.45</w:t>
            </w:r>
          </w:p>
        </w:tc>
        <w:tc>
          <w:tcPr>
            <w:tcW w:type="dxa" w:w="960"/>
          </w:tcPr>
          <w:p>
            <w:r>
              <w:rPr>
                <w:rFonts w:ascii="Calibri" w:hAnsi="Calibri"/>
                <w:sz w:val="22"/>
              </w:rPr>
              <w:t>$2.31</w:t>
            </w:r>
          </w:p>
        </w:tc>
        <w:tc>
          <w:tcPr>
            <w:tcW w:type="dxa" w:w="960"/>
          </w:tcPr>
          <w:p>
            <w:r>
              <w:rPr>
                <w:rFonts w:ascii="Calibri" w:hAnsi="Calibri"/>
                <w:b/>
                <w:color w:val="30A46C"/>
                <w:sz w:val="22"/>
              </w:rPr>
              <w:t>+6.1%</w:t>
            </w:r>
          </w:p>
        </w:tc>
        <w:tc>
          <w:tcPr>
            <w:tcW w:type="dxa" w:w="960"/>
          </w:tcPr>
          <w:p>
            <w:r>
              <w:rPr>
                <w:rFonts w:ascii="Calibri" w:hAnsi="Calibri"/>
                <w:sz w:val="22"/>
              </w:rPr>
              <w:t>Beat</w:t>
            </w:r>
          </w:p>
        </w:tc>
        <w:tc>
          <w:tcPr>
            <w:tcW w:type="dxa" w:w="960"/>
          </w:tcPr>
          <w:p>
            <w:r>
              <w:rPr>
                <w:rFonts w:ascii="Calibri" w:hAnsi="Calibri"/>
                <w:b/>
                <w:color w:val="E5484D"/>
                <w:sz w:val="22"/>
              </w:rPr>
              <w:t>$9.145B</w:t>
            </w:r>
          </w:p>
        </w:tc>
        <w:tc>
          <w:tcPr>
            <w:tcW w:type="dxa" w:w="960"/>
          </w:tcPr>
          <w:p>
            <w:r>
              <w:rPr>
                <w:rFonts w:ascii="Calibri" w:hAnsi="Calibri"/>
                <w:sz w:val="22"/>
              </w:rPr>
              <w:t>$9.282B</w:t>
            </w:r>
          </w:p>
        </w:tc>
        <w:tc>
          <w:tcPr>
            <w:tcW w:type="dxa" w:w="960"/>
          </w:tcPr>
          <w:p>
            <w:r>
              <w:rPr>
                <w:rFonts w:ascii="Calibri" w:hAnsi="Calibri"/>
                <w:b/>
                <w:color w:val="E5484D"/>
                <w:sz w:val="22"/>
              </w:rPr>
              <w:t>-1.5%</w:t>
            </w:r>
          </w:p>
        </w:tc>
        <w:tc>
          <w:tcPr>
            <w:tcW w:type="dxa" w:w="960"/>
          </w:tcPr>
          <w:p>
            <w:r>
              <w:rPr>
                <w:rFonts w:ascii="Calibri" w:hAnsi="Calibri"/>
                <w:sz w:val="22"/>
              </w:rPr>
              <w:t>Miss</w:t>
            </w:r>
          </w:p>
        </w:tc>
      </w:tr>
      <w:tr>
        <w:tc>
          <w:tcPr>
            <w:tcW w:type="dxa" w:w="960"/>
          </w:tcPr>
          <w:p>
            <w:r>
              <w:rPr>
                <w:rFonts w:ascii="Calibri" w:hAnsi="Calibri"/>
                <w:sz w:val="22"/>
              </w:rPr>
              <w:t>Q4 2025</w:t>
            </w:r>
          </w:p>
        </w:tc>
        <w:tc>
          <w:tcPr>
            <w:tcW w:type="dxa" w:w="960"/>
          </w:tcPr>
          <w:p>
            <w:r>
              <w:rPr>
                <w:rFonts w:ascii="Calibri" w:hAnsi="Calibri"/>
                <w:b/>
                <w:color w:val="30A46C"/>
                <w:sz w:val="22"/>
              </w:rPr>
              <w:t>$2.59</w:t>
            </w:r>
          </w:p>
        </w:tc>
        <w:tc>
          <w:tcPr>
            <w:tcW w:type="dxa" w:w="960"/>
          </w:tcPr>
          <w:p>
            <w:r>
              <w:rPr>
                <w:rFonts w:ascii="Calibri" w:hAnsi="Calibri"/>
                <w:sz w:val="22"/>
              </w:rPr>
              <w:t>$2.50</w:t>
            </w:r>
          </w:p>
        </w:tc>
        <w:tc>
          <w:tcPr>
            <w:tcW w:type="dxa" w:w="960"/>
          </w:tcPr>
          <w:p>
            <w:r>
              <w:rPr>
                <w:rFonts w:ascii="Calibri" w:hAnsi="Calibri"/>
                <w:b/>
                <w:color w:val="30A46C"/>
                <w:sz w:val="22"/>
              </w:rPr>
              <w:t>+3.6%</w:t>
            </w:r>
          </w:p>
        </w:tc>
        <w:tc>
          <w:tcPr>
            <w:tcW w:type="dxa" w:w="960"/>
          </w:tcPr>
          <w:p>
            <w:r>
              <w:rPr>
                <w:rFonts w:ascii="Calibri" w:hAnsi="Calibri"/>
                <w:sz w:val="22"/>
              </w:rPr>
              <w:t>Beat</w:t>
            </w:r>
          </w:p>
        </w:tc>
        <w:tc>
          <w:tcPr>
            <w:tcW w:type="dxa" w:w="960"/>
          </w:tcPr>
          <w:p>
            <w:r>
              <w:rPr>
                <w:rFonts w:ascii="Calibri" w:hAnsi="Calibri"/>
                <w:b/>
                <w:color w:val="30A46C"/>
                <w:sz w:val="22"/>
              </w:rPr>
              <w:t>$10.074B</w:t>
            </w:r>
          </w:p>
        </w:tc>
        <w:tc>
          <w:tcPr>
            <w:tcW w:type="dxa" w:w="960"/>
          </w:tcPr>
          <w:p>
            <w:r>
              <w:rPr>
                <w:rFonts w:ascii="Calibri" w:hAnsi="Calibri"/>
                <w:sz w:val="22"/>
              </w:rPr>
              <w:t>$9.908B</w:t>
            </w:r>
          </w:p>
        </w:tc>
        <w:tc>
          <w:tcPr>
            <w:tcW w:type="dxa" w:w="960"/>
          </w:tcPr>
          <w:p>
            <w:r>
              <w:rPr>
                <w:rFonts w:ascii="Calibri" w:hAnsi="Calibri"/>
                <w:b/>
                <w:color w:val="30A46C"/>
                <w:sz w:val="22"/>
              </w:rPr>
              <w:t>+1.7%</w:t>
            </w:r>
          </w:p>
        </w:tc>
        <w:tc>
          <w:tcPr>
            <w:tcW w:type="dxa" w:w="960"/>
          </w:tcPr>
          <w:p>
            <w:r>
              <w:rPr>
                <w:rFonts w:ascii="Calibri" w:hAnsi="Calibri"/>
                <w:sz w:val="22"/>
              </w:rPr>
              <w:t>Beat</w:t>
            </w:r>
          </w:p>
        </w:tc>
      </w:tr>
      <w:tr>
        <w:tc>
          <w:tcPr>
            <w:tcW w:type="dxa" w:w="960"/>
          </w:tcPr>
          <w:p>
            <w:r>
              <w:rPr>
                <w:rFonts w:ascii="Calibri" w:hAnsi="Calibri"/>
                <w:sz w:val="22"/>
              </w:rPr>
              <w:t>Q3 2025</w:t>
            </w:r>
          </w:p>
        </w:tc>
        <w:tc>
          <w:tcPr>
            <w:tcW w:type="dxa" w:w="960"/>
          </w:tcPr>
          <w:p>
            <w:r>
              <w:rPr>
                <w:rFonts w:ascii="Calibri" w:hAnsi="Calibri"/>
                <w:b/>
                <w:color w:val="30A46C"/>
                <w:sz w:val="22"/>
              </w:rPr>
              <w:t>$2.82</w:t>
            </w:r>
          </w:p>
        </w:tc>
        <w:tc>
          <w:tcPr>
            <w:tcW w:type="dxa" w:w="960"/>
          </w:tcPr>
          <w:p>
            <w:r>
              <w:rPr>
                <w:rFonts w:ascii="Calibri" w:hAnsi="Calibri"/>
                <w:sz w:val="22"/>
              </w:rPr>
              <w:t>$2.54</w:t>
            </w:r>
          </w:p>
        </w:tc>
        <w:tc>
          <w:tcPr>
            <w:tcW w:type="dxa" w:w="960"/>
          </w:tcPr>
          <w:p>
            <w:r>
              <w:rPr>
                <w:rFonts w:ascii="Calibri" w:hAnsi="Calibri"/>
                <w:b/>
                <w:color w:val="30A46C"/>
                <w:sz w:val="22"/>
              </w:rPr>
              <w:t>+11.0%</w:t>
            </w:r>
          </w:p>
        </w:tc>
        <w:tc>
          <w:tcPr>
            <w:tcW w:type="dxa" w:w="960"/>
          </w:tcPr>
          <w:p>
            <w:r>
              <w:rPr>
                <w:rFonts w:ascii="Calibri" w:hAnsi="Calibri"/>
                <w:sz w:val="22"/>
              </w:rPr>
              <w:t>Beat</w:t>
            </w:r>
          </w:p>
        </w:tc>
        <w:tc>
          <w:tcPr>
            <w:tcW w:type="dxa" w:w="960"/>
          </w:tcPr>
          <w:p>
            <w:r>
              <w:rPr>
                <w:rFonts w:ascii="Calibri" w:hAnsi="Calibri"/>
                <w:b/>
                <w:color w:val="30A46C"/>
                <w:sz w:val="22"/>
              </w:rPr>
              <w:t>$9.440B</w:t>
            </w:r>
          </w:p>
        </w:tc>
        <w:tc>
          <w:tcPr>
            <w:tcW w:type="dxa" w:w="960"/>
          </w:tcPr>
          <w:p>
            <w:r>
              <w:rPr>
                <w:rFonts w:ascii="Calibri" w:hAnsi="Calibri"/>
                <w:sz w:val="22"/>
              </w:rPr>
              <w:t>$10.141B</w:t>
            </w:r>
          </w:p>
        </w:tc>
        <w:tc>
          <w:tcPr>
            <w:tcW w:type="dxa" w:w="960"/>
          </w:tcPr>
          <w:p>
            <w:r>
              <w:rPr>
                <w:rFonts w:ascii="Calibri" w:hAnsi="Calibri"/>
                <w:b/>
                <w:color w:val="E5484D"/>
                <w:sz w:val="22"/>
              </w:rPr>
              <w:t>-6.9%</w:t>
            </w:r>
          </w:p>
        </w:tc>
        <w:tc>
          <w:tcPr>
            <w:tcW w:type="dxa" w:w="960"/>
          </w:tcPr>
          <w:p>
            <w:r>
              <w:rPr>
                <w:rFonts w:ascii="Calibri" w:hAnsi="Calibri"/>
                <w:sz w:val="22"/>
              </w:rPr>
              <w:t>Miss</w:t>
            </w:r>
          </w:p>
        </w:tc>
      </w:tr>
      <w:tr>
        <w:tc>
          <w:tcPr>
            <w:tcW w:type="dxa" w:w="960"/>
          </w:tcPr>
          <w:p>
            <w:r>
              <w:rPr>
                <w:rFonts w:ascii="Calibri" w:hAnsi="Calibri"/>
                <w:sz w:val="22"/>
              </w:rPr>
              <w:t>Q2 2025</w:t>
            </w:r>
          </w:p>
        </w:tc>
        <w:tc>
          <w:tcPr>
            <w:tcW w:type="dxa" w:w="960"/>
          </w:tcPr>
          <w:p>
            <w:r>
              <w:rPr>
                <w:rFonts w:ascii="Calibri" w:hAnsi="Calibri"/>
                <w:b/>
                <w:color w:val="30A46C"/>
                <w:sz w:val="22"/>
              </w:rPr>
              <w:t>$2.75</w:t>
            </w:r>
          </w:p>
        </w:tc>
        <w:tc>
          <w:tcPr>
            <w:tcW w:type="dxa" w:w="960"/>
          </w:tcPr>
          <w:p>
            <w:r>
              <w:rPr>
                <w:rFonts w:ascii="Calibri" w:hAnsi="Calibri"/>
                <w:sz w:val="22"/>
              </w:rPr>
              <w:t>$2.63</w:t>
            </w:r>
          </w:p>
        </w:tc>
        <w:tc>
          <w:tcPr>
            <w:tcW w:type="dxa" w:w="960"/>
          </w:tcPr>
          <w:p>
            <w:r>
              <w:rPr>
                <w:rFonts w:ascii="Calibri" w:hAnsi="Calibri"/>
                <w:b/>
                <w:color w:val="30A46C"/>
                <w:sz w:val="22"/>
              </w:rPr>
              <w:t>+4.6%</w:t>
            </w:r>
          </w:p>
        </w:tc>
        <w:tc>
          <w:tcPr>
            <w:tcW w:type="dxa" w:w="960"/>
          </w:tcPr>
          <w:p>
            <w:r>
              <w:rPr>
                <w:rFonts w:ascii="Calibri" w:hAnsi="Calibri"/>
                <w:sz w:val="22"/>
              </w:rPr>
              <w:t>Beat</w:t>
            </w:r>
          </w:p>
        </w:tc>
        <w:tc>
          <w:tcPr>
            <w:tcW w:type="dxa" w:w="960"/>
          </w:tcPr>
          <w:p>
            <w:r>
              <w:rPr>
                <w:rFonts w:ascii="Calibri" w:hAnsi="Calibri"/>
                <w:b/>
                <w:color w:val="E5484D"/>
                <w:sz w:val="22"/>
              </w:rPr>
              <w:t>$9.325B</w:t>
            </w:r>
          </w:p>
        </w:tc>
        <w:tc>
          <w:tcPr>
            <w:tcW w:type="dxa" w:w="960"/>
          </w:tcPr>
          <w:p>
            <w:r>
              <w:rPr>
                <w:rFonts w:ascii="Calibri" w:hAnsi="Calibri"/>
                <w:sz w:val="22"/>
              </w:rPr>
              <w:t>$10.055B</w:t>
            </w:r>
          </w:p>
        </w:tc>
        <w:tc>
          <w:tcPr>
            <w:tcW w:type="dxa" w:w="960"/>
          </w:tcPr>
          <w:p>
            <w:r>
              <w:rPr>
                <w:rFonts w:ascii="Calibri" w:hAnsi="Calibri"/>
                <w:b/>
                <w:color w:val="E5484D"/>
                <w:sz w:val="22"/>
              </w:rPr>
              <w:t>-7.2%</w:t>
            </w:r>
          </w:p>
        </w:tc>
        <w:tc>
          <w:tcPr>
            <w:tcW w:type="dxa" w:w="960"/>
          </w:tcPr>
          <w:p>
            <w:r>
              <w:rPr>
                <w:rFonts w:ascii="Calibri" w:hAnsi="Calibri"/>
                <w:sz w:val="22"/>
              </w:rPr>
              <w:t>Miss</w:t>
            </w:r>
          </w:p>
        </w:tc>
      </w:tr>
      <w:tr>
        <w:tc>
          <w:tcPr>
            <w:tcW w:type="dxa" w:w="960"/>
          </w:tcPr>
          <w:p>
            <w:r>
              <w:rPr>
                <w:rFonts w:ascii="Calibri" w:hAnsi="Calibri"/>
                <w:sz w:val="22"/>
              </w:rPr>
              <w:t>Q1 2025</w:t>
            </w:r>
          </w:p>
        </w:tc>
        <w:tc>
          <w:tcPr>
            <w:tcW w:type="dxa" w:w="960"/>
          </w:tcPr>
          <w:p>
            <w:r>
              <w:rPr>
                <w:rFonts w:ascii="Calibri" w:hAnsi="Calibri"/>
                <w:b/>
                <w:color w:val="30A46C"/>
                <w:sz w:val="22"/>
              </w:rPr>
              <w:t>$2.21</w:t>
            </w:r>
          </w:p>
        </w:tc>
        <w:tc>
          <w:tcPr>
            <w:tcW w:type="dxa" w:w="960"/>
          </w:tcPr>
          <w:p>
            <w:r>
              <w:rPr>
                <w:rFonts w:ascii="Calibri" w:hAnsi="Calibri"/>
                <w:sz w:val="22"/>
              </w:rPr>
              <w:t>$2.19</w:t>
            </w:r>
          </w:p>
        </w:tc>
        <w:tc>
          <w:tcPr>
            <w:tcW w:type="dxa" w:w="960"/>
          </w:tcPr>
          <w:p>
            <w:r>
              <w:rPr>
                <w:rFonts w:ascii="Calibri" w:hAnsi="Calibri"/>
                <w:b/>
                <w:color w:val="30A46C"/>
                <w:sz w:val="22"/>
              </w:rPr>
              <w:t>+1.0%</w:t>
            </w:r>
          </w:p>
        </w:tc>
        <w:tc>
          <w:tcPr>
            <w:tcW w:type="dxa" w:w="960"/>
          </w:tcPr>
          <w:p>
            <w:r>
              <w:rPr>
                <w:rFonts w:ascii="Calibri" w:hAnsi="Calibri"/>
                <w:sz w:val="22"/>
              </w:rPr>
              <w:t>Beat</w:t>
            </w:r>
          </w:p>
        </w:tc>
        <w:tc>
          <w:tcPr>
            <w:tcW w:type="dxa" w:w="960"/>
          </w:tcPr>
          <w:p>
            <w:r>
              <w:rPr>
                <w:rFonts w:ascii="Calibri" w:hAnsi="Calibri"/>
                <w:b/>
                <w:color w:val="E5484D"/>
                <w:sz w:val="22"/>
              </w:rPr>
              <w:t>$8.928B</w:t>
            </w:r>
          </w:p>
        </w:tc>
        <w:tc>
          <w:tcPr>
            <w:tcW w:type="dxa" w:w="960"/>
          </w:tcPr>
          <w:p>
            <w:r>
              <w:rPr>
                <w:rFonts w:ascii="Calibri" w:hAnsi="Calibri"/>
                <w:sz w:val="22"/>
              </w:rPr>
              <w:t>$9.585B</w:t>
            </w:r>
          </w:p>
        </w:tc>
        <w:tc>
          <w:tcPr>
            <w:tcW w:type="dxa" w:w="960"/>
          </w:tcPr>
          <w:p>
            <w:r>
              <w:rPr>
                <w:rFonts w:ascii="Calibri" w:hAnsi="Calibri"/>
                <w:b/>
                <w:color w:val="E5484D"/>
                <w:sz w:val="22"/>
              </w:rPr>
              <w:t>-6.8%</w:t>
            </w:r>
          </w:p>
        </w:tc>
        <w:tc>
          <w:tcPr>
            <w:tcW w:type="dxa" w:w="960"/>
          </w:tcPr>
          <w:p>
            <w:r>
              <w:rPr>
                <w:rFonts w:ascii="Calibri" w:hAnsi="Calibri"/>
                <w:sz w:val="22"/>
              </w:rPr>
              <w:t>Miss</w:t>
            </w:r>
          </w:p>
        </w:tc>
      </w:tr>
      <w:tr>
        <w:tc>
          <w:tcPr>
            <w:tcW w:type="dxa" w:w="960"/>
          </w:tcPr>
          <w:p>
            <w:r>
              <w:rPr>
                <w:rFonts w:ascii="Calibri" w:hAnsi="Calibri"/>
                <w:sz w:val="22"/>
              </w:rPr>
              <w:t>Q4 2024</w:t>
            </w:r>
          </w:p>
        </w:tc>
        <w:tc>
          <w:tcPr>
            <w:tcW w:type="dxa" w:w="960"/>
          </w:tcPr>
          <w:p>
            <w:r>
              <w:rPr>
                <w:rFonts w:ascii="Calibri" w:hAnsi="Calibri"/>
                <w:b/>
                <w:color w:val="E5484D"/>
                <w:sz w:val="22"/>
              </w:rPr>
              <w:t>$2.22</w:t>
            </w:r>
          </w:p>
        </w:tc>
        <w:tc>
          <w:tcPr>
            <w:tcW w:type="dxa" w:w="960"/>
          </w:tcPr>
          <w:p>
            <w:r>
              <w:rPr>
                <w:rFonts w:ascii="Calibri" w:hAnsi="Calibri"/>
                <w:sz w:val="22"/>
              </w:rPr>
              <w:t>$2.33</w:t>
            </w:r>
          </w:p>
        </w:tc>
        <w:tc>
          <w:tcPr>
            <w:tcW w:type="dxa" w:w="960"/>
          </w:tcPr>
          <w:p>
            <w:r>
              <w:rPr>
                <w:rFonts w:ascii="Calibri" w:hAnsi="Calibri"/>
                <w:b/>
                <w:color w:val="E5484D"/>
                <w:sz w:val="22"/>
              </w:rPr>
              <w:t>-4.7%</w:t>
            </w:r>
          </w:p>
        </w:tc>
        <w:tc>
          <w:tcPr>
            <w:tcW w:type="dxa" w:w="960"/>
          </w:tcPr>
          <w:p>
            <w:r>
              <w:rPr>
                <w:rFonts w:ascii="Calibri" w:hAnsi="Calibri"/>
                <w:sz w:val="22"/>
              </w:rPr>
              <w:t>Miss</w:t>
            </w:r>
          </w:p>
        </w:tc>
        <w:tc>
          <w:tcPr>
            <w:tcW w:type="dxa" w:w="960"/>
          </w:tcPr>
          <w:p>
            <w:r>
              <w:rPr>
                <w:rFonts w:ascii="Calibri" w:hAnsi="Calibri"/>
                <w:b/>
                <w:color w:val="E5484D"/>
                <w:sz w:val="22"/>
              </w:rPr>
              <w:t>$9.174B</w:t>
            </w:r>
          </w:p>
        </w:tc>
        <w:tc>
          <w:tcPr>
            <w:tcW w:type="dxa" w:w="960"/>
          </w:tcPr>
          <w:p>
            <w:r>
              <w:rPr>
                <w:rFonts w:ascii="Calibri" w:hAnsi="Calibri"/>
                <w:sz w:val="22"/>
              </w:rPr>
              <w:t>$9.841B</w:t>
            </w:r>
          </w:p>
        </w:tc>
        <w:tc>
          <w:tcPr>
            <w:tcW w:type="dxa" w:w="960"/>
          </w:tcPr>
          <w:p>
            <w:r>
              <w:rPr>
                <w:rFonts w:ascii="Calibri" w:hAnsi="Calibri"/>
                <w:b/>
                <w:color w:val="E5484D"/>
                <w:sz w:val="22"/>
              </w:rPr>
              <w:t>-6.8%</w:t>
            </w:r>
          </w:p>
        </w:tc>
        <w:tc>
          <w:tcPr>
            <w:tcW w:type="dxa" w:w="960"/>
          </w:tcPr>
          <w:p>
            <w:r>
              <w:rPr>
                <w:rFonts w:ascii="Calibri" w:hAnsi="Calibri"/>
                <w:sz w:val="22"/>
              </w:rPr>
              <w:t>Miss</w:t>
            </w:r>
          </w:p>
        </w:tc>
      </w:tr>
      <w:tr>
        <w:tc>
          <w:tcPr>
            <w:tcW w:type="dxa" w:w="960"/>
          </w:tcPr>
          <w:p>
            <w:r>
              <w:rPr>
                <w:rFonts w:ascii="Calibri" w:hAnsi="Calibri"/>
                <w:sz w:val="22"/>
              </w:rPr>
              <w:t>Q3 2024</w:t>
            </w:r>
          </w:p>
        </w:tc>
        <w:tc>
          <w:tcPr>
            <w:tcW w:type="dxa" w:w="960"/>
          </w:tcPr>
          <w:p>
            <w:r>
              <w:rPr>
                <w:rFonts w:ascii="Calibri" w:hAnsi="Calibri"/>
                <w:b/>
                <w:color w:val="30A46C"/>
                <w:sz w:val="22"/>
              </w:rPr>
              <w:t>$2.58</w:t>
            </w:r>
          </w:p>
        </w:tc>
        <w:tc>
          <w:tcPr>
            <w:tcW w:type="dxa" w:w="960"/>
          </w:tcPr>
          <w:p>
            <w:r>
              <w:rPr>
                <w:rFonts w:ascii="Calibri" w:hAnsi="Calibri"/>
                <w:sz w:val="22"/>
              </w:rPr>
              <w:t>$2.49</w:t>
            </w:r>
          </w:p>
        </w:tc>
        <w:tc>
          <w:tcPr>
            <w:tcW w:type="dxa" w:w="960"/>
          </w:tcPr>
          <w:p>
            <w:r>
              <w:rPr>
                <w:rFonts w:ascii="Calibri" w:hAnsi="Calibri"/>
                <w:b/>
                <w:color w:val="30A46C"/>
                <w:sz w:val="22"/>
              </w:rPr>
              <w:t>+3.6%</w:t>
            </w:r>
          </w:p>
        </w:tc>
        <w:tc>
          <w:tcPr>
            <w:tcW w:type="dxa" w:w="960"/>
          </w:tcPr>
          <w:p>
            <w:r>
              <w:rPr>
                <w:rFonts w:ascii="Calibri" w:hAnsi="Calibri"/>
                <w:sz w:val="22"/>
              </w:rPr>
              <w:t>Beat</w:t>
            </w:r>
          </w:p>
        </w:tc>
        <w:tc>
          <w:tcPr>
            <w:tcW w:type="dxa" w:w="960"/>
          </w:tcPr>
          <w:p>
            <w:r>
              <w:rPr>
                <w:rFonts w:ascii="Calibri" w:hAnsi="Calibri"/>
                <w:b/>
                <w:color w:val="E5484D"/>
                <w:sz w:val="22"/>
              </w:rPr>
              <w:t>$8.825B</w:t>
            </w:r>
          </w:p>
        </w:tc>
        <w:tc>
          <w:tcPr>
            <w:tcW w:type="dxa" w:w="960"/>
          </w:tcPr>
          <w:p>
            <w:r>
              <w:rPr>
                <w:rFonts w:ascii="Calibri" w:hAnsi="Calibri"/>
                <w:sz w:val="22"/>
              </w:rPr>
              <w:t>$9.890B</w:t>
            </w:r>
          </w:p>
        </w:tc>
        <w:tc>
          <w:tcPr>
            <w:tcW w:type="dxa" w:w="960"/>
          </w:tcPr>
          <w:p>
            <w:r>
              <w:rPr>
                <w:rFonts w:ascii="Calibri" w:hAnsi="Calibri"/>
                <w:b/>
                <w:color w:val="E5484D"/>
                <w:sz w:val="22"/>
              </w:rPr>
              <w:t>-10.8%</w:t>
            </w:r>
          </w:p>
        </w:tc>
        <w:tc>
          <w:tcPr>
            <w:tcW w:type="dxa" w:w="960"/>
          </w:tcPr>
          <w:p>
            <w:r>
              <w:rPr>
                <w:rFonts w:ascii="Calibri" w:hAnsi="Calibri"/>
                <w:sz w:val="22"/>
              </w:rPr>
              <w:t>Miss</w:t>
            </w:r>
          </w:p>
        </w:tc>
      </w:tr>
      <w:tr>
        <w:tc>
          <w:tcPr>
            <w:tcW w:type="dxa" w:w="960"/>
          </w:tcPr>
          <w:p>
            <w:r>
              <w:rPr>
                <w:rFonts w:ascii="Calibri" w:hAnsi="Calibri"/>
                <w:sz w:val="22"/>
              </w:rPr>
              <w:t>Q2 2024</w:t>
            </w:r>
          </w:p>
        </w:tc>
        <w:tc>
          <w:tcPr>
            <w:tcW w:type="dxa" w:w="960"/>
          </w:tcPr>
          <w:p>
            <w:r>
              <w:rPr>
                <w:rFonts w:ascii="Calibri" w:hAnsi="Calibri"/>
                <w:b/>
                <w:color w:val="E5484D"/>
                <w:sz w:val="22"/>
              </w:rPr>
              <w:t>$2.04</w:t>
            </w:r>
          </w:p>
        </w:tc>
        <w:tc>
          <w:tcPr>
            <w:tcW w:type="dxa" w:w="960"/>
          </w:tcPr>
          <w:p>
            <w:r>
              <w:rPr>
                <w:rFonts w:ascii="Calibri" w:hAnsi="Calibri"/>
                <w:sz w:val="22"/>
              </w:rPr>
              <w:t>$2.37</w:t>
            </w:r>
          </w:p>
        </w:tc>
        <w:tc>
          <w:tcPr>
            <w:tcW w:type="dxa" w:w="960"/>
          </w:tcPr>
          <w:p>
            <w:r>
              <w:rPr>
                <w:rFonts w:ascii="Calibri" w:hAnsi="Calibri"/>
                <w:b/>
                <w:color w:val="E5484D"/>
                <w:sz w:val="22"/>
              </w:rPr>
              <w:t>-14.0%</w:t>
            </w:r>
          </w:p>
        </w:tc>
        <w:tc>
          <w:tcPr>
            <w:tcW w:type="dxa" w:w="960"/>
          </w:tcPr>
          <w:p>
            <w:r>
              <w:rPr>
                <w:rFonts w:ascii="Calibri" w:hAnsi="Calibri"/>
                <w:sz w:val="22"/>
              </w:rPr>
              <w:t>Miss</w:t>
            </w:r>
          </w:p>
        </w:tc>
        <w:tc>
          <w:tcPr>
            <w:tcW w:type="dxa" w:w="960"/>
          </w:tcPr>
          <w:p>
            <w:r>
              <w:rPr>
                <w:rFonts w:ascii="Calibri" w:hAnsi="Calibri"/>
                <w:b/>
                <w:color w:val="E5484D"/>
                <w:sz w:val="22"/>
              </w:rPr>
              <w:t>$8.577B</w:t>
            </w:r>
          </w:p>
        </w:tc>
        <w:tc>
          <w:tcPr>
            <w:tcW w:type="dxa" w:w="960"/>
          </w:tcPr>
          <w:p>
            <w:r>
              <w:rPr>
                <w:rFonts w:ascii="Calibri" w:hAnsi="Calibri"/>
                <w:sz w:val="22"/>
              </w:rPr>
              <w:t>$9.421B</w:t>
            </w:r>
          </w:p>
        </w:tc>
        <w:tc>
          <w:tcPr>
            <w:tcW w:type="dxa" w:w="960"/>
          </w:tcPr>
          <w:p>
            <w:r>
              <w:rPr>
                <w:rFonts w:ascii="Calibri" w:hAnsi="Calibri"/>
                <w:b/>
                <w:color w:val="E5484D"/>
                <w:sz w:val="22"/>
              </w:rPr>
              <w:t>-9.0%</w:t>
            </w:r>
          </w:p>
        </w:tc>
        <w:tc>
          <w:tcPr>
            <w:tcW w:type="dxa" w:w="96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HON has beaten EPS consensus in 6 of the last 8 quarters, but has consistently missed revenue consensus in 7 of 8 quarters — a structural pattern driven by portfolio transformation noise, segment mix shifts, and the legacy reporting structure including Aerospace. The EPS beat rate is strong; the revenue miss pattern reflects the complexity of the transformation rather than demand weakness. Note: Q2 2024 and Q4 2024 EPS misses coincided with peak portfolio disruption. Beat/miss history reflects legacy HON (including Aerospace) for comparability; RemainCo-only history will begin with Q2 2026.</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evolved significantly since Q1 earnings — not because numbers changed, but because the </w:t>
      </w:r>
      <w:r>
        <w:rPr>
          <w:rFonts w:ascii="Calibri" w:hAnsi="Calibri"/>
          <w:b/>
          <w:color w:val="525866"/>
          <w:sz w:val="22"/>
        </w:rPr>
        <w:t>reporting framework was completely restructured</w:t>
      </w:r>
      <w:r>
        <w:rPr>
          <w:rFonts w:ascii="Calibri" w:hAnsi="Calibri"/>
          <w:color w:val="525866"/>
          <w:sz w:val="22"/>
        </w:rPr>
        <w:t xml:space="preserve"> around the RemainCo entity post-spin. The underlying operational tone has shifted </w:t>
      </w:r>
      <w:r>
        <w:rPr>
          <w:rFonts w:ascii="Calibri" w:hAnsi="Calibri"/>
          <w:b/>
          <w:color w:val="525866"/>
          <w:sz w:val="22"/>
        </w:rPr>
        <w:t>materially more confident</w:t>
      </w:r>
      <w:r>
        <w:rPr>
          <w:rFonts w:ascii="Calibri" w:hAnsi="Calibri"/>
          <w:color w:val="525866"/>
          <w:sz w:val="22"/>
        </w:rPr>
        <w:t>: Middle East headwinds are tracking well below the low end of the Q2 guide, stranded cost removal is ahead of plan, and management introduced a three-year framework at Investor Day with front-loaded EPS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23, 2026)</w:t>
            </w:r>
          </w:p>
        </w:tc>
        <w:tc>
          <w:tcPr>
            <w:tcW w:type="dxa" w:w="1728"/>
            <w:shd w:val="clear" w:color="auto" w:fill="3B4259"/>
          </w:tcPr>
          <w:p>
            <w:r>
              <w:rPr>
                <w:rFonts w:ascii="Calibri" w:hAnsi="Calibri"/>
                <w:b/>
                <w:color w:val="FFFFFF"/>
                <w:sz w:val="22"/>
              </w:rPr>
              <w:t>Revised Guidance (Post-Earnings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Organic Growth</w:t>
            </w:r>
          </w:p>
        </w:tc>
        <w:tc>
          <w:tcPr>
            <w:tcW w:type="dxa" w:w="1728"/>
          </w:tcPr>
          <w:p>
            <w:r>
              <w:rPr>
                <w:rFonts w:ascii="Calibri" w:hAnsi="Calibri"/>
                <w:sz w:val="22"/>
              </w:rPr>
              <w:t>2–4% (legacy HON incl. Aerospace)</w:t>
            </w:r>
          </w:p>
        </w:tc>
        <w:tc>
          <w:tcPr>
            <w:tcW w:type="dxa" w:w="1728"/>
          </w:tcPr>
          <w:p>
            <w:r>
              <w:rPr>
                <w:rFonts w:ascii="Calibri" w:hAnsi="Calibri"/>
                <w:sz w:val="22"/>
              </w:rPr>
              <w:t>On track per Jun 8 Guidance Update Call; Middle East impact now $50–75M vs. ~1% of revenue guided</w:t>
            </w:r>
          </w:p>
        </w:tc>
        <w:tc>
          <w:tcPr>
            <w:tcW w:type="dxa" w:w="1728"/>
          </w:tcPr>
          <w:p>
            <w:r>
              <w:rPr>
                <w:rFonts w:ascii="Calibri" w:hAnsi="Calibri"/>
                <w:sz w:val="22"/>
              </w:rPr>
              <w:t>~0.4% (VA consensus; RemainCo basis)</w:t>
            </w:r>
          </w:p>
        </w:tc>
        <w:tc>
          <w:tcPr>
            <w:tcW w:type="dxa" w:w="1728"/>
          </w:tcPr>
          <w:p>
            <w:r>
              <w:rPr>
                <w:rFonts w:ascii="Calibri" w:hAnsi="Calibri"/>
                <w:sz w:val="22"/>
              </w:rPr>
              <w:t>↑ Better than feared; Middle East tracking well below low end of guide per CFO mid-May commentary</w:t>
            </w:r>
          </w:p>
        </w:tc>
      </w:tr>
      <w:tr>
        <w:tc>
          <w:tcPr>
            <w:tcW w:type="dxa" w:w="1728"/>
          </w:tcPr>
          <w:p>
            <w:r>
              <w:rPr>
                <w:rFonts w:ascii="Calibri" w:hAnsi="Calibri"/>
                <w:sz w:val="22"/>
              </w:rPr>
              <w:t>Q2 2026 Adj. EPS</w:t>
            </w:r>
          </w:p>
        </w:tc>
        <w:tc>
          <w:tcPr>
            <w:tcW w:type="dxa" w:w="1728"/>
          </w:tcPr>
          <w:p>
            <w:r>
              <w:rPr>
                <w:rFonts w:ascii="Calibri" w:hAnsi="Calibri"/>
                <w:sz w:val="22"/>
              </w:rPr>
              <w:t>$2.40 midpoint (incl. ~$0.16 tax headwind; normalized ~$2.55)</w:t>
            </w:r>
          </w:p>
        </w:tc>
        <w:tc>
          <w:tcPr>
            <w:tcW w:type="dxa" w:w="1728"/>
          </w:tcPr>
          <w:p>
            <w:r>
              <w:rPr>
                <w:rFonts w:ascii="Calibri" w:hAnsi="Calibri"/>
                <w:sz w:val="22"/>
              </w:rPr>
              <w:t>Updated to $4.40–4.70 for H2 2026 (post-reverse split; Jul 8 press release); Q2 not separately re-guided</w:t>
            </w:r>
          </w:p>
        </w:tc>
        <w:tc>
          <w:tcPr>
            <w:tcW w:type="dxa" w:w="1728"/>
          </w:tcPr>
          <w:p>
            <w:r>
              <w:rPr>
                <w:rFonts w:ascii="Calibri" w:hAnsi="Calibri"/>
                <w:sz w:val="22"/>
              </w:rPr>
              <w:t>$2.46 (VA consensus)</w:t>
            </w:r>
          </w:p>
        </w:tc>
        <w:tc>
          <w:tcPr>
            <w:tcW w:type="dxa" w:w="1728"/>
          </w:tcPr>
          <w:p>
            <w:r>
              <w:rPr>
                <w:rFonts w:ascii="Calibri" w:hAnsi="Calibri"/>
                <w:sz w:val="22"/>
              </w:rPr>
              <w:t>Tax headwind well-understood; consensus sits ~2.5% above guided midpoint</w:t>
            </w:r>
          </w:p>
        </w:tc>
      </w:tr>
      <w:tr>
        <w:tc>
          <w:tcPr>
            <w:tcW w:type="dxa" w:w="1728"/>
          </w:tcPr>
          <w:p>
            <w:r>
              <w:rPr>
                <w:rFonts w:ascii="Calibri" w:hAnsi="Calibri"/>
                <w:sz w:val="22"/>
              </w:rPr>
              <w:t>Q2 2026 Segment Margin</w:t>
            </w:r>
          </w:p>
        </w:tc>
        <w:tc>
          <w:tcPr>
            <w:tcW w:type="dxa" w:w="1728"/>
          </w:tcPr>
          <w:p>
            <w:r>
              <w:rPr>
                <w:rFonts w:ascii="Calibri" w:hAnsi="Calibri"/>
                <w:sz w:val="22"/>
              </w:rPr>
              <w:t>22.2–22.5% (legacy HON incl. Aerospace)</w:t>
            </w:r>
          </w:p>
        </w:tc>
        <w:tc>
          <w:tcPr>
            <w:tcW w:type="dxa" w:w="1728"/>
          </w:tcPr>
          <w:p>
            <w:r>
              <w:rPr>
                <w:rFonts w:ascii="Calibri" w:hAnsi="Calibri"/>
                <w:sz w:val="22"/>
              </w:rPr>
              <w:t>RemainCo full-year ~20%; H2 ~21.3% midpoint; Q3 ~21%, Q4 ~22% (Jun 8 call)</w:t>
            </w:r>
          </w:p>
        </w:tc>
        <w:tc>
          <w:tcPr>
            <w:tcW w:type="dxa" w:w="1728"/>
          </w:tcPr>
          <w:p>
            <w:r>
              <w:rPr>
                <w:rFonts w:ascii="Calibri" w:hAnsi="Calibri"/>
                <w:sz w:val="22"/>
              </w:rPr>
              <w:t>19.63% (VA consensus; RemainCo basis)</w:t>
            </w:r>
          </w:p>
        </w:tc>
        <w:tc>
          <w:tcPr>
            <w:tcW w:type="dxa" w:w="1728"/>
          </w:tcPr>
          <w:p>
            <w:r>
              <w:rPr>
                <w:rFonts w:ascii="Calibri" w:hAnsi="Calibri"/>
                <w:sz w:val="22"/>
              </w:rPr>
              <w:t>Segment margin guide restructured for RemainCo; stranded cost removal ahead of plan</w:t>
            </w:r>
          </w:p>
        </w:tc>
      </w:tr>
      <w:tr>
        <w:tc>
          <w:tcPr>
            <w:tcW w:type="dxa" w:w="1728"/>
          </w:tcPr>
          <w:p>
            <w:r>
              <w:rPr>
                <w:rFonts w:ascii="Calibri" w:hAnsi="Calibri"/>
                <w:sz w:val="22"/>
              </w:rPr>
              <w:t>FY 2026 Organic Growth (RemainCo)</w:t>
            </w:r>
          </w:p>
        </w:tc>
        <w:tc>
          <w:tcPr>
            <w:tcW w:type="dxa" w:w="1728"/>
          </w:tcPr>
          <w:p>
            <w:r>
              <w:rPr>
                <w:rFonts w:ascii="Calibri" w:hAnsi="Calibri"/>
                <w:sz w:val="22"/>
              </w:rPr>
              <w:t>3–6% (legacy HON full-year; maintained at Q1 earnings)</w:t>
            </w:r>
          </w:p>
        </w:tc>
        <w:tc>
          <w:tcPr>
            <w:tcW w:type="dxa" w:w="1728"/>
          </w:tcPr>
          <w:p>
            <w:r>
              <w:rPr>
                <w:rFonts w:ascii="Calibri" w:hAnsi="Calibri"/>
                <w:sz w:val="22"/>
              </w:rPr>
              <w:t>2–3% full year; 3–5% H2 (Jun 8 Guidance Update Call; RemainCo basis)</w:t>
            </w:r>
          </w:p>
        </w:tc>
        <w:tc>
          <w:tcPr>
            <w:tcW w:type="dxa" w:w="1728"/>
          </w:tcPr>
          <w:p>
            <w:r>
              <w:rPr>
                <w:rFonts w:ascii="Calibri" w:hAnsi="Calibri"/>
                <w:sz w:val="22"/>
              </w:rPr>
              <w:t>~2.6% (VA FY 2026 consensus)</w:t>
            </w:r>
          </w:p>
        </w:tc>
        <w:tc>
          <w:tcPr>
            <w:tcW w:type="dxa" w:w="1728"/>
          </w:tcPr>
          <w:p>
            <w:r>
              <w:rPr>
                <w:rFonts w:ascii="Calibri" w:hAnsi="Calibri"/>
                <w:sz w:val="22"/>
              </w:rPr>
              <w:t>↓ Narrowed range reflects RemainCo scope (ex-Aerospace); IA raised from down low-SD to flat; PA&amp;T roughly flat for year</w:t>
            </w:r>
          </w:p>
        </w:tc>
      </w:tr>
      <w:tr>
        <w:tc>
          <w:tcPr>
            <w:tcW w:type="dxa" w:w="1728"/>
          </w:tcPr>
          <w:p>
            <w:r>
              <w:rPr>
                <w:rFonts w:ascii="Calibri" w:hAnsi="Calibri"/>
                <w:sz w:val="22"/>
              </w:rPr>
              <w:t>FY 2026 Adj. EPS (RemainCo)</w:t>
            </w:r>
          </w:p>
        </w:tc>
        <w:tc>
          <w:tcPr>
            <w:tcW w:type="dxa" w:w="1728"/>
          </w:tcPr>
          <w:p>
            <w:r>
              <w:rPr>
                <w:rFonts w:ascii="Calibri" w:hAnsi="Calibri"/>
                <w:sz w:val="22"/>
              </w:rPr>
              <w:t>N/A — legacy HON full-year EPS not directly comparable</w:t>
            </w:r>
          </w:p>
        </w:tc>
        <w:tc>
          <w:tcPr>
            <w:tcW w:type="dxa" w:w="1728"/>
          </w:tcPr>
          <w:p>
            <w:r>
              <w:rPr>
                <w:rFonts w:ascii="Calibri" w:hAnsi="Calibri"/>
                <w:sz w:val="22"/>
              </w:rPr>
              <w:t>$7.90–8.30 (post-reverse split; Jul 8 press release; $4.05 midpoint pre-split equivalent)</w:t>
            </w:r>
          </w:p>
        </w:tc>
        <w:tc>
          <w:tcPr>
            <w:tcW w:type="dxa" w:w="1728"/>
          </w:tcPr>
          <w:p>
            <w:r>
              <w:rPr>
                <w:rFonts w:ascii="Calibri" w:hAnsi="Calibri"/>
                <w:sz w:val="22"/>
              </w:rPr>
              <w:t>$10.55 (VA FY 2026 consensus; reflects legacy HON basis)</w:t>
            </w:r>
          </w:p>
        </w:tc>
        <w:tc>
          <w:tcPr>
            <w:tcW w:type="dxa" w:w="1728"/>
          </w:tcPr>
          <w:p>
            <w:r>
              <w:rPr>
                <w:rFonts w:ascii="Calibri" w:hAnsi="Calibri"/>
                <w:sz w:val="22"/>
              </w:rPr>
              <w:t>RemainCo EPS framework introduced Jun 8; 22–28% adj. earnings growth guided; front-loaded per Investor Day</w:t>
            </w:r>
          </w:p>
        </w:tc>
      </w:tr>
      <w:tr>
        <w:tc>
          <w:tcPr>
            <w:tcW w:type="dxa" w:w="1728"/>
          </w:tcPr>
          <w:p>
            <w:r>
              <w:rPr>
                <w:rFonts w:ascii="Calibri" w:hAnsi="Calibri"/>
                <w:sz w:val="22"/>
              </w:rPr>
              <w:t>FY 2026 Segment Margin (RemainCo)</w:t>
            </w:r>
          </w:p>
        </w:tc>
        <w:tc>
          <w:tcPr>
            <w:tcW w:type="dxa" w:w="1728"/>
          </w:tcPr>
          <w:p>
            <w:r>
              <w:rPr>
                <w:rFonts w:ascii="Calibri" w:hAnsi="Calibri"/>
                <w:sz w:val="22"/>
              </w:rPr>
              <w:t>22.7–23.1% (legacy HON; maintained at Q1 earnings)</w:t>
            </w:r>
          </w:p>
        </w:tc>
        <w:tc>
          <w:tcPr>
            <w:tcW w:type="dxa" w:w="1728"/>
          </w:tcPr>
          <w:p>
            <w:r>
              <w:rPr>
                <w:rFonts w:ascii="Calibri" w:hAnsi="Calibri"/>
                <w:sz w:val="22"/>
              </w:rPr>
              <w:t>19.8–20.3% (RemainCo; Jun 8 call); exit rate ~22% by Q4 2026</w:t>
            </w:r>
          </w:p>
        </w:tc>
        <w:tc>
          <w:tcPr>
            <w:tcW w:type="dxa" w:w="1728"/>
          </w:tcPr>
          <w:p>
            <w:r>
              <w:rPr>
                <w:rFonts w:ascii="Calibri" w:hAnsi="Calibri"/>
                <w:sz w:val="22"/>
              </w:rPr>
              <w:t>~20.0% (VA FY 2026 consensus)</w:t>
            </w:r>
          </w:p>
        </w:tc>
        <w:tc>
          <w:tcPr>
            <w:tcW w:type="dxa" w:w="1728"/>
          </w:tcPr>
          <w:p>
            <w:r>
              <w:rPr>
                <w:rFonts w:ascii="Calibri" w:hAnsi="Calibri"/>
                <w:sz w:val="22"/>
              </w:rPr>
              <w:t>Restructured for RemainCo; 220–270 bps expansion guided; stranded cost removal &lt;$300M day-one vs. prior ~$400M</w:t>
            </w:r>
          </w:p>
        </w:tc>
      </w:tr>
      <w:tr>
        <w:tc>
          <w:tcPr>
            <w:tcW w:type="dxa" w:w="1728"/>
          </w:tcPr>
          <w:p>
            <w:r>
              <w:rPr>
                <w:rFonts w:ascii="Calibri" w:hAnsi="Calibri"/>
                <w:sz w:val="22"/>
              </w:rPr>
              <w:t>FY 2026 Free Cash Flow (RemainCo)</w:t>
            </w:r>
          </w:p>
        </w:tc>
        <w:tc>
          <w:tcPr>
            <w:tcW w:type="dxa" w:w="1728"/>
          </w:tcPr>
          <w:p>
            <w:r>
              <w:rPr>
                <w:rFonts w:ascii="Calibri" w:hAnsi="Calibri"/>
                <w:sz w:val="22"/>
              </w:rPr>
              <w:t>No change to FCF guidance at Q1 earnings (legacy HON basis)</w:t>
            </w:r>
          </w:p>
        </w:tc>
        <w:tc>
          <w:tcPr>
            <w:tcW w:type="dxa" w:w="1728"/>
          </w:tcPr>
          <w:p>
            <w:r>
              <w:rPr>
                <w:rFonts w:ascii="Calibri" w:hAnsi="Calibri"/>
                <w:sz w:val="22"/>
              </w:rPr>
              <w:t>~$2.0B (RemainCo; Jun 8 call); ~95% conversion in H2; CapEx ~3% of sales</w:t>
            </w:r>
          </w:p>
        </w:tc>
        <w:tc>
          <w:tcPr>
            <w:tcW w:type="dxa" w:w="1728"/>
          </w:tcPr>
          <w:p>
            <w:r>
              <w:rPr>
                <w:rFonts w:ascii="Calibri" w:hAnsi="Calibri"/>
                <w:sz w:val="22"/>
              </w:rPr>
              <w:t>$2.60B (VA FY 2026 consensus)</w:t>
            </w:r>
          </w:p>
        </w:tc>
        <w:tc>
          <w:tcPr>
            <w:tcW w:type="dxa" w:w="1728"/>
          </w:tcPr>
          <w:p>
            <w:r>
              <w:rPr>
                <w:rFonts w:ascii="Calibri" w:hAnsi="Calibri"/>
                <w:sz w:val="22"/>
              </w:rPr>
              <w:t>H2-weighted; Q2 FCF expected to remain below H2 run-rate; operating CF ~$2.1B guided</w:t>
            </w:r>
          </w:p>
        </w:tc>
      </w:tr>
      <w:tr>
        <w:tc>
          <w:tcPr>
            <w:tcW w:type="dxa" w:w="1728"/>
          </w:tcPr>
          <w:p>
            <w:r>
              <w:rPr>
                <w:rFonts w:ascii="Calibri" w:hAnsi="Calibri"/>
                <w:sz w:val="22"/>
              </w:rPr>
              <w:t>Middle East Revenue Impact (Q2)</w:t>
            </w:r>
          </w:p>
        </w:tc>
        <w:tc>
          <w:tcPr>
            <w:tcW w:type="dxa" w:w="1728"/>
          </w:tcPr>
          <w:p>
            <w:r>
              <w:rPr>
                <w:rFonts w:ascii="Calibri" w:hAnsi="Calibri"/>
                <w:sz w:val="22"/>
              </w:rPr>
              <w:t>~1% of revenue (~$90–100M headwind assumed for Q2 at Q1 earnings)</w:t>
            </w:r>
          </w:p>
        </w:tc>
        <w:tc>
          <w:tcPr>
            <w:tcW w:type="dxa" w:w="1728"/>
          </w:tcPr>
          <w:p>
            <w:r>
              <w:rPr>
                <w:rFonts w:ascii="Calibri" w:hAnsi="Calibri"/>
                <w:sz w:val="22"/>
              </w:rPr>
              <w:t>$50–75M (Jun 8 Guidance Update Call; tracking well below low end of prior guide)</w:t>
            </w:r>
          </w:p>
        </w:tc>
        <w:tc>
          <w:tcPr>
            <w:tcW w:type="dxa" w:w="1728"/>
          </w:tcPr>
          <w:p>
            <w:r>
              <w:rPr>
                <w:rFonts w:ascii="Calibri" w:hAnsi="Calibri"/>
                <w:sz w:val="22"/>
              </w:rPr>
              <w:t>N/A</w:t>
            </w:r>
          </w:p>
        </w:tc>
        <w:tc>
          <w:tcPr>
            <w:tcW w:type="dxa" w:w="1728"/>
          </w:tcPr>
          <w:p>
            <w:r>
              <w:rPr>
                <w:rFonts w:ascii="Calibri" w:hAnsi="Calibri"/>
                <w:sz w:val="22"/>
              </w:rPr>
              <w:t>↑ Significant positive revision; customers actively engaged on repairs; reconstruction orders beginning</w:t>
            </w:r>
          </w:p>
        </w:tc>
      </w:tr>
      <w:tr>
        <w:tc>
          <w:tcPr>
            <w:tcW w:type="dxa" w:w="1728"/>
          </w:tcPr>
          <w:p>
            <w:r>
              <w:rPr>
                <w:rFonts w:ascii="Calibri" w:hAnsi="Calibri"/>
                <w:sz w:val="22"/>
              </w:rPr>
              <w:t>Stranded Costs (Day-One)</w:t>
            </w:r>
          </w:p>
        </w:tc>
        <w:tc>
          <w:tcPr>
            <w:tcW w:type="dxa" w:w="1728"/>
          </w:tcPr>
          <w:p>
            <w:r>
              <w:rPr>
                <w:rFonts w:ascii="Calibri" w:hAnsi="Calibri"/>
                <w:sz w:val="22"/>
              </w:rPr>
              <w:t>~$400M estimated at prior guidance</w:t>
            </w:r>
          </w:p>
        </w:tc>
        <w:tc>
          <w:tcPr>
            <w:tcW w:type="dxa" w:w="1728"/>
          </w:tcPr>
          <w:p>
            <w:r>
              <w:rPr>
                <w:rFonts w:ascii="Calibri" w:hAnsi="Calibri"/>
                <w:sz w:val="22"/>
              </w:rPr>
              <w:t>&lt;$300M (Jun 8 call; $290M per Investor Day); ~75% eliminated by year-end 2026; remaining ~$85M in H1 2027</w:t>
            </w:r>
          </w:p>
        </w:tc>
        <w:tc>
          <w:tcPr>
            <w:tcW w:type="dxa" w:w="1728"/>
          </w:tcPr>
          <w:p>
            <w:r>
              <w:rPr>
                <w:rFonts w:ascii="Calibri" w:hAnsi="Calibri"/>
                <w:sz w:val="22"/>
              </w:rPr>
              <w:t>N/A</w:t>
            </w:r>
          </w:p>
        </w:tc>
        <w:tc>
          <w:tcPr>
            <w:tcW w:type="dxa" w:w="1728"/>
          </w:tcPr>
          <w:p>
            <w:r>
              <w:rPr>
                <w:rFonts w:ascii="Calibri" w:hAnsi="Calibri"/>
                <w:sz w:val="22"/>
              </w:rPr>
              <w:t>↑ Ahead of plan; ~$0.38 EPS impact for full year; trademark license income from HONA partially offsets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broadly stable to slightly positive since Q1 earnings</w:t>
      </w:r>
      <w:r>
        <w:rPr>
          <w:rFonts w:ascii="Calibri" w:hAnsi="Calibri"/>
          <w:color w:val="525866"/>
          <w:sz w:val="22"/>
        </w:rPr>
        <w:t xml:space="preserve"> on EPS, with the Q2 consensus sitting modestly above the guided midpoint. The </w:t>
      </w:r>
      <w:r>
        <w:rPr>
          <w:rFonts w:ascii="Calibri" w:hAnsi="Calibri"/>
          <w:b/>
          <w:color w:val="525866"/>
          <w:sz w:val="22"/>
        </w:rPr>
        <w:t>full-year FY 2026 EPS consensus has barely moved</w:t>
      </w:r>
      <w:r>
        <w:rPr>
          <w:rFonts w:ascii="Calibri" w:hAnsi="Calibri"/>
          <w:color w:val="525866"/>
          <w:sz w:val="22"/>
        </w:rPr>
        <w:t xml:space="preserve"> since the Q1 print, suggesting the street is comfortable with the RemainCo framework but not yet pricing in meaningful upside — a low-risk setup if management delivers on the H2 inflection.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$2.39</w:t>
            </w:r>
          </w:p>
        </w:tc>
        <w:tc>
          <w:tcPr>
            <w:tcW w:type="dxa" w:w="1080"/>
          </w:tcPr>
          <w:p>
            <w:r>
              <w:rPr>
                <w:rFonts w:ascii="Calibri" w:hAnsi="Calibri"/>
                <w:sz w:val="22"/>
              </w:rPr>
              <w:t>$2.46</w:t>
            </w:r>
          </w:p>
        </w:tc>
        <w:tc>
          <w:tcPr>
            <w:tcW w:type="dxa" w:w="1080"/>
          </w:tcPr>
          <w:p>
            <w:r>
              <w:rPr>
                <w:rFonts w:ascii="Calibri" w:hAnsi="Calibri"/>
                <w:b/>
                <w:color w:val="30A46C"/>
                <w:sz w:val="22"/>
              </w:rPr>
              <w:t>+2.9%</w:t>
            </w:r>
          </w:p>
        </w:tc>
        <w:tc>
          <w:tcPr>
            <w:tcW w:type="dxa" w:w="1080"/>
          </w:tcPr>
          <w:p>
            <w:r>
              <w:rPr>
                <w:rFonts w:ascii="Calibri" w:hAnsi="Calibri"/>
                <w:sz w:val="22"/>
              </w:rPr>
              <w:t>$2.40 midpoint</w:t>
            </w:r>
          </w:p>
        </w:tc>
        <w:tc>
          <w:tcPr>
            <w:tcW w:type="dxa" w:w="1080"/>
          </w:tcPr>
          <w:p>
            <w:r>
              <w:rPr>
                <w:rFonts w:ascii="Calibri" w:hAnsi="Calibri"/>
                <w:sz w:val="22"/>
              </w:rPr>
              <w:t>$2.40 midpoint (unchanged; RemainCo H2 guide introduced Jun 8)</w:t>
            </w:r>
          </w:p>
        </w:tc>
        <w:tc>
          <w:tcPr>
            <w:tcW w:type="dxa" w:w="1080"/>
          </w:tcPr>
          <w:p>
            <w:r>
              <w:rPr>
                <w:rFonts w:ascii="Calibri" w:hAnsi="Calibri"/>
                <w:sz w:val="22"/>
              </w:rPr>
              <w:t>Unchanged</w:t>
            </w:r>
          </w:p>
        </w:tc>
        <w:tc>
          <w:tcPr>
            <w:tcW w:type="dxa" w:w="1080"/>
          </w:tcPr>
          <w:p>
            <w:r>
              <w:rPr>
                <w:rFonts w:ascii="Calibri" w:hAnsi="Calibri"/>
                <w:sz w:val="22"/>
              </w:rPr>
              <w:t>+2.5% above midpoint</w:t>
            </w:r>
          </w:p>
        </w:tc>
      </w:tr>
      <w:tr>
        <w:tc>
          <w:tcPr>
            <w:tcW w:type="dxa" w:w="1080"/>
          </w:tcPr>
          <w:p>
            <w:r>
              <w:rPr>
                <w:rFonts w:ascii="Calibri" w:hAnsi="Calibri"/>
                <w:sz w:val="22"/>
              </w:rPr>
              <w:t>Net Sales — Q2 2026 ($B)</w:t>
            </w:r>
          </w:p>
        </w:tc>
        <w:tc>
          <w:tcPr>
            <w:tcW w:type="dxa" w:w="1080"/>
          </w:tcPr>
          <w:p>
            <w:r>
              <w:rPr>
                <w:rFonts w:ascii="Calibri" w:hAnsi="Calibri"/>
                <w:sz w:val="22"/>
              </w:rPr>
              <w:t>$9.539B</w:t>
            </w:r>
          </w:p>
        </w:tc>
        <w:tc>
          <w:tcPr>
            <w:tcW w:type="dxa" w:w="1080"/>
          </w:tcPr>
          <w:p>
            <w:r>
              <w:rPr>
                <w:rFonts w:ascii="Calibri" w:hAnsi="Calibri"/>
                <w:sz w:val="22"/>
              </w:rPr>
              <w:t>$9.581B</w:t>
            </w:r>
          </w:p>
        </w:tc>
        <w:tc>
          <w:tcPr>
            <w:tcW w:type="dxa" w:w="1080"/>
          </w:tcPr>
          <w:p>
            <w:r>
              <w:rPr>
                <w:rFonts w:ascii="Calibri" w:hAnsi="Calibri"/>
                <w:b/>
                <w:color w:val="30A46C"/>
                <w:sz w:val="22"/>
              </w:rPr>
              <w:t>+0.4%</w:t>
            </w:r>
          </w:p>
        </w:tc>
        <w:tc>
          <w:tcPr>
            <w:tcW w:type="dxa" w:w="1080"/>
          </w:tcPr>
          <w:p>
            <w:r>
              <w:rPr>
                <w:rFonts w:ascii="Calibri" w:hAnsi="Calibri"/>
                <w:sz w:val="22"/>
              </w:rPr>
              <w:t>Organic growth 2–4%</w:t>
            </w:r>
          </w:p>
        </w:tc>
        <w:tc>
          <w:tcPr>
            <w:tcW w:type="dxa" w:w="1080"/>
          </w:tcPr>
          <w:p>
            <w:r>
              <w:rPr>
                <w:rFonts w:ascii="Calibri" w:hAnsi="Calibri"/>
                <w:sz w:val="22"/>
              </w:rPr>
              <w:t>On track per Jun 8 call; Middle East impact $50–75M vs. ~1% prior</w:t>
            </w:r>
          </w:p>
        </w:tc>
        <w:tc>
          <w:tcPr>
            <w:tcW w:type="dxa" w:w="1080"/>
          </w:tcPr>
          <w:p>
            <w:r>
              <w:rPr>
                <w:rFonts w:ascii="Calibri" w:hAnsi="Calibri"/>
                <w:sz w:val="22"/>
              </w:rPr>
              <w:t>↑ Better than feared</w:t>
            </w:r>
          </w:p>
        </w:tc>
        <w:tc>
          <w:tcPr>
            <w:tcW w:type="dxa" w:w="1080"/>
          </w:tcPr>
          <w:p>
            <w:r>
              <w:rPr>
                <w:rFonts w:ascii="Calibri" w:hAnsi="Calibri"/>
                <w:sz w:val="22"/>
              </w:rPr>
              <w:t>N/A — RemainCo basis not directly comparable</w:t>
            </w:r>
          </w:p>
        </w:tc>
      </w:tr>
      <w:tr>
        <w:tc>
          <w:tcPr>
            <w:tcW w:type="dxa" w:w="1080"/>
          </w:tcPr>
          <w:p>
            <w:r>
              <w:rPr>
                <w:rFonts w:ascii="Calibri" w:hAnsi="Calibri"/>
                <w:sz w:val="22"/>
              </w:rPr>
              <w:t>Segment Margin — Q2 2026 (%)</w:t>
            </w:r>
          </w:p>
        </w:tc>
        <w:tc>
          <w:tcPr>
            <w:tcW w:type="dxa" w:w="1080"/>
          </w:tcPr>
          <w:p>
            <w:r>
              <w:rPr>
                <w:rFonts w:ascii="Calibri" w:hAnsi="Calibri"/>
                <w:sz w:val="22"/>
              </w:rPr>
              <w:t>19.63%</w:t>
            </w:r>
          </w:p>
        </w:tc>
        <w:tc>
          <w:tcPr>
            <w:tcW w:type="dxa" w:w="1080"/>
          </w:tcPr>
          <w:p>
            <w:r>
              <w:rPr>
                <w:rFonts w:ascii="Calibri" w:hAnsi="Calibri"/>
                <w:sz w:val="22"/>
              </w:rPr>
              <w:t>19.63%</w:t>
            </w:r>
          </w:p>
        </w:tc>
        <w:tc>
          <w:tcPr>
            <w:tcW w:type="dxa" w:w="1080"/>
          </w:tcPr>
          <w:p>
            <w:r>
              <w:rPr>
                <w:rFonts w:ascii="Calibri" w:hAnsi="Calibri"/>
                <w:sz w:val="22"/>
              </w:rPr>
              <w:t>Flat</w:t>
            </w:r>
          </w:p>
        </w:tc>
        <w:tc>
          <w:tcPr>
            <w:tcW w:type="dxa" w:w="1080"/>
          </w:tcPr>
          <w:p>
            <w:r>
              <w:rPr>
                <w:rFonts w:ascii="Calibri" w:hAnsi="Calibri"/>
                <w:sz w:val="22"/>
              </w:rPr>
              <w:t>22.2–22.5% (legacy HON incl. Aerospace)</w:t>
            </w:r>
          </w:p>
        </w:tc>
        <w:tc>
          <w:tcPr>
            <w:tcW w:type="dxa" w:w="1080"/>
          </w:tcPr>
          <w:p>
            <w:r>
              <w:rPr>
                <w:rFonts w:ascii="Calibri" w:hAnsi="Calibri"/>
                <w:sz w:val="22"/>
              </w:rPr>
              <w:t>~20% full year RemainCo; H2 ~21.3% midpoint</w:t>
            </w:r>
          </w:p>
        </w:tc>
        <w:tc>
          <w:tcPr>
            <w:tcW w:type="dxa" w:w="1080"/>
          </w:tcPr>
          <w:p>
            <w:r>
              <w:rPr>
                <w:rFonts w:ascii="Calibri" w:hAnsi="Calibri"/>
                <w:sz w:val="22"/>
              </w:rPr>
              <w:t>Restructured for RemainCo</w:t>
            </w:r>
          </w:p>
        </w:tc>
        <w:tc>
          <w:tcPr>
            <w:tcW w:type="dxa" w:w="1080"/>
          </w:tcPr>
          <w:p>
            <w:r>
              <w:rPr>
                <w:rFonts w:ascii="Calibri" w:hAnsi="Calibri"/>
                <w:sz w:val="22"/>
              </w:rPr>
              <w:t>N/A — framework change</w:t>
            </w:r>
          </w:p>
        </w:tc>
      </w:tr>
      <w:tr>
        <w:tc>
          <w:tcPr>
            <w:tcW w:type="dxa" w:w="1080"/>
          </w:tcPr>
          <w:p>
            <w:r>
              <w:rPr>
                <w:rFonts w:ascii="Calibri" w:hAnsi="Calibri"/>
                <w:sz w:val="22"/>
              </w:rPr>
              <w:t>Adj. EPS — FY 2026</w:t>
            </w:r>
          </w:p>
        </w:tc>
        <w:tc>
          <w:tcPr>
            <w:tcW w:type="dxa" w:w="1080"/>
          </w:tcPr>
          <w:p>
            <w:r>
              <w:rPr>
                <w:rFonts w:ascii="Calibri" w:hAnsi="Calibri"/>
                <w:sz w:val="22"/>
              </w:rPr>
              <w:t>$10.524B</w:t>
            </w:r>
          </w:p>
        </w:tc>
        <w:tc>
          <w:tcPr>
            <w:tcW w:type="dxa" w:w="1080"/>
          </w:tcPr>
          <w:p>
            <w:r>
              <w:rPr>
                <w:rFonts w:ascii="Calibri" w:hAnsi="Calibri"/>
                <w:sz w:val="22"/>
              </w:rPr>
              <w:t>$10.546B</w:t>
            </w:r>
          </w:p>
        </w:tc>
        <w:tc>
          <w:tcPr>
            <w:tcW w:type="dxa" w:w="1080"/>
          </w:tcPr>
          <w:p>
            <w:r>
              <w:rPr>
                <w:rFonts w:ascii="Calibri" w:hAnsi="Calibri"/>
                <w:b/>
                <w:color w:val="30A46C"/>
                <w:sz w:val="22"/>
              </w:rPr>
              <w:t>+0.2%</w:t>
            </w:r>
          </w:p>
        </w:tc>
        <w:tc>
          <w:tcPr>
            <w:tcW w:type="dxa" w:w="1080"/>
          </w:tcPr>
          <w:p>
            <w:r>
              <w:rPr>
                <w:rFonts w:ascii="Calibri" w:hAnsi="Calibri"/>
                <w:sz w:val="22"/>
              </w:rPr>
              <w:t>Legacy HON full-year maintained</w:t>
            </w:r>
          </w:p>
        </w:tc>
        <w:tc>
          <w:tcPr>
            <w:tcW w:type="dxa" w:w="1080"/>
          </w:tcPr>
          <w:p>
            <w:r>
              <w:rPr>
                <w:rFonts w:ascii="Calibri" w:hAnsi="Calibri"/>
                <w:sz w:val="22"/>
              </w:rPr>
              <w:t>$7.90–8.30 (RemainCo; post-reverse split; Jul 8 press release)</w:t>
            </w:r>
          </w:p>
        </w:tc>
        <w:tc>
          <w:tcPr>
            <w:tcW w:type="dxa" w:w="1080"/>
          </w:tcPr>
          <w:p>
            <w:r>
              <w:rPr>
                <w:rFonts w:ascii="Calibri" w:hAnsi="Calibri"/>
                <w:sz w:val="22"/>
              </w:rPr>
              <w:t>Restructured for RemainCo; 22–28% adj. earnings growth</w:t>
            </w:r>
          </w:p>
        </w:tc>
        <w:tc>
          <w:tcPr>
            <w:tcW w:type="dxa" w:w="1080"/>
          </w:tcPr>
          <w:p>
            <w:r>
              <w:rPr>
                <w:rFonts w:ascii="Calibri" w:hAnsi="Calibri"/>
                <w:sz w:val="22"/>
              </w:rPr>
              <w:t>N/A — framework change</w:t>
            </w:r>
          </w:p>
        </w:tc>
      </w:tr>
      <w:tr>
        <w:tc>
          <w:tcPr>
            <w:tcW w:type="dxa" w:w="1080"/>
          </w:tcPr>
          <w:p>
            <w:r>
              <w:rPr>
                <w:rFonts w:ascii="Calibri" w:hAnsi="Calibri"/>
                <w:sz w:val="22"/>
              </w:rPr>
              <w:t>Net Sales — FY 2026 ($B)</w:t>
            </w:r>
          </w:p>
        </w:tc>
        <w:tc>
          <w:tcPr>
            <w:tcW w:type="dxa" w:w="1080"/>
          </w:tcPr>
          <w:p>
            <w:r>
              <w:rPr>
                <w:rFonts w:ascii="Calibri" w:hAnsi="Calibri"/>
                <w:sz w:val="22"/>
              </w:rPr>
              <w:t>$39.390B</w:t>
            </w:r>
          </w:p>
        </w:tc>
        <w:tc>
          <w:tcPr>
            <w:tcW w:type="dxa" w:w="1080"/>
          </w:tcPr>
          <w:p>
            <w:r>
              <w:rPr>
                <w:rFonts w:ascii="Calibri" w:hAnsi="Calibri"/>
                <w:sz w:val="22"/>
              </w:rPr>
              <w:t>$39.380B</w:t>
            </w:r>
          </w:p>
        </w:tc>
        <w:tc>
          <w:tcPr>
            <w:tcW w:type="dxa" w:w="1080"/>
          </w:tcPr>
          <w:p>
            <w:r>
              <w:rPr>
                <w:rFonts w:ascii="Calibri" w:hAnsi="Calibri"/>
                <w:sz w:val="22"/>
              </w:rPr>
              <w:t>-0.0%</w:t>
            </w:r>
          </w:p>
        </w:tc>
        <w:tc>
          <w:tcPr>
            <w:tcW w:type="dxa" w:w="1080"/>
          </w:tcPr>
          <w:p>
            <w:r>
              <w:rPr>
                <w:rFonts w:ascii="Calibri" w:hAnsi="Calibri"/>
                <w:sz w:val="22"/>
              </w:rPr>
              <w:t>Legacy HON 3–6% organic growth maintained</w:t>
            </w:r>
          </w:p>
        </w:tc>
        <w:tc>
          <w:tcPr>
            <w:tcW w:type="dxa" w:w="1080"/>
          </w:tcPr>
          <w:p>
            <w:r>
              <w:rPr>
                <w:rFonts w:ascii="Calibri" w:hAnsi="Calibri"/>
                <w:sz w:val="22"/>
              </w:rPr>
              <w:t>$19.9–20.2B (RemainCo; Jun 8 call)</w:t>
            </w:r>
          </w:p>
        </w:tc>
        <w:tc>
          <w:tcPr>
            <w:tcW w:type="dxa" w:w="1080"/>
          </w:tcPr>
          <w:p>
            <w:r>
              <w:rPr>
                <w:rFonts w:ascii="Calibri" w:hAnsi="Calibri"/>
                <w:sz w:val="22"/>
              </w:rPr>
              <w:t>Restructured for RemainCo</w:t>
            </w:r>
          </w:p>
        </w:tc>
        <w:tc>
          <w:tcPr>
            <w:tcW w:type="dxa" w:w="1080"/>
          </w:tcPr>
          <w:p>
            <w:r>
              <w:rPr>
                <w:rFonts w:ascii="Calibri" w:hAnsi="Calibri"/>
                <w:sz w:val="22"/>
              </w:rPr>
              <w:t>N/A — framework change</w:t>
            </w:r>
          </w:p>
        </w:tc>
      </w:tr>
      <w:tr>
        <w:tc>
          <w:tcPr>
            <w:tcW w:type="dxa" w:w="1080"/>
          </w:tcPr>
          <w:p>
            <w:r>
              <w:rPr>
                <w:rFonts w:ascii="Calibri" w:hAnsi="Calibri"/>
                <w:sz w:val="22"/>
              </w:rPr>
              <w:t>Adj. EPS — FY 2027</w:t>
            </w:r>
          </w:p>
        </w:tc>
        <w:tc>
          <w:tcPr>
            <w:tcW w:type="dxa" w:w="1080"/>
          </w:tcPr>
          <w:p>
            <w:r>
              <w:rPr>
                <w:rFonts w:ascii="Calibri" w:hAnsi="Calibri"/>
                <w:sz w:val="22"/>
              </w:rPr>
              <w:t>$11.366B</w:t>
            </w:r>
          </w:p>
        </w:tc>
        <w:tc>
          <w:tcPr>
            <w:tcW w:type="dxa" w:w="1080"/>
          </w:tcPr>
          <w:p>
            <w:r>
              <w:rPr>
                <w:rFonts w:ascii="Calibri" w:hAnsi="Calibri"/>
                <w:sz w:val="22"/>
              </w:rPr>
              <w:t>$11.479B</w:t>
            </w:r>
          </w:p>
        </w:tc>
        <w:tc>
          <w:tcPr>
            <w:tcW w:type="dxa" w:w="1080"/>
          </w:tcPr>
          <w:p>
            <w:r>
              <w:rPr>
                <w:rFonts w:ascii="Calibri" w:hAnsi="Calibri"/>
                <w:b/>
                <w:color w:val="30A46C"/>
                <w:sz w:val="22"/>
              </w:rPr>
              <w:t>+1.0%</w:t>
            </w:r>
          </w:p>
        </w:tc>
        <w:tc>
          <w:tcPr>
            <w:tcW w:type="dxa" w:w="1080"/>
          </w:tcPr>
          <w:p>
            <w:r>
              <w:rPr>
                <w:rFonts w:ascii="Calibri" w:hAnsi="Calibri"/>
                <w:sz w:val="22"/>
              </w:rPr>
              <w:t>N/A — not guided at Q1 earnings</w:t>
            </w:r>
          </w:p>
        </w:tc>
        <w:tc>
          <w:tcPr>
            <w:tcW w:type="dxa" w:w="1080"/>
          </w:tcPr>
          <w:p>
            <w:r>
              <w:rPr>
                <w:rFonts w:ascii="Calibri" w:hAnsi="Calibri"/>
                <w:sz w:val="22"/>
              </w:rPr>
              <w:t>10%+ adj. income growth through 2029; CFO targets 12%+ EPS growth in 2027</w:t>
            </w:r>
          </w:p>
        </w:tc>
        <w:tc>
          <w:tcPr>
            <w:tcW w:type="dxa" w:w="1080"/>
          </w:tcPr>
          <w:p>
            <w:r>
              <w:rPr>
                <w:rFonts w:ascii="Calibri" w:hAnsi="Calibri"/>
                <w:sz w:val="22"/>
              </w:rPr>
              <w:t>Introduced at Investor Day Jun 11</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estimate revision picture is unusually clean — Q2 EPS consensus has drifted ~3% above the guided midpoint since Q1 earnings, consistent with HON's recent pattern of beating EPS. The more important story is the FY 2026 and FY 2027 estimate trajectory: both are essentially flat since Q1 earnings, meaning the street has not yet incorporated the upside from the faster-than-expected stranded cost removal, the better-than-feared Middle East recovery, or the front-loaded EPS growth framework introduced at Investor Day. This creates a setup where a clean Q2 print with constructive H2 commentary could drive meaningful upward estimate revisions.</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HON (RemainCo) has traded roughly in line with the S&amp;P 500 since the June 29 spin-off, reflecting a </w:t>
      </w:r>
      <w:r>
        <w:rPr>
          <w:rFonts w:ascii="Calibri" w:hAnsi="Calibri"/>
          <w:b/>
          <w:color w:val="525866"/>
          <w:sz w:val="22"/>
        </w:rPr>
        <w:t>clean-slate re-rating as a pure-play automation company</w:t>
      </w:r>
      <w:r>
        <w:rPr>
          <w:rFonts w:ascii="Calibri" w:hAnsi="Calibri"/>
          <w:color w:val="525866"/>
          <w:sz w:val="22"/>
        </w:rPr>
        <w:t xml:space="preserve"> rather than a conglomerate. The pre-spin period (Apr 23 – Jun 24) saw HON outperform both XLI and SPY (+6.1% vs. +3.5% each), driven by the Investor Day catalyst and improving Middle East sentiment.</w:t>
      </w:r>
    </w:p>
    <w:p>
      <w:r>
        <w:rPr>
          <w:rFonts w:ascii="Calibri" w:hAnsi="Calibri"/>
          <w:b/>
          <w:color w:val="525866"/>
          <w:sz w:val="22"/>
        </w:rPr>
        <w:t xml:space="preserve">Sector ETF: </w:t>
      </w:r>
      <w:r>
        <w:rPr>
          <w:rFonts w:ascii="Calibri" w:hAnsi="Calibri"/>
          <w:color w:val="525866"/>
          <w:sz w:val="22"/>
        </w:rPr>
        <w:t>XLI (iShares U.S. Industrials ETF) — appropriate for HON's industrial automation and process automation end markets.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HON (RemainCo) vs. XLI vs. S&amp;P 500 — Indexed to 100 at Aerospace Spin-Off Date (Jun 29, 2026). Source: Stock Price Data.</w:t>
      </w:r>
    </w:p>
    <w:p>
      <w:r>
        <w:rPr>
          <w:rFonts w:ascii="Calibri" w:hAnsi="Calibri"/>
          <w:b/>
          <w:color w:val="525866"/>
          <w:sz w:val="22"/>
        </w:rPr>
        <w:t>Performance Summary:</w:t>
      </w:r>
    </w:p>
    <w:p>
      <w:pPr>
        <w:pStyle w:val="ListBullet"/>
        <w:ind w:left="360" w:hanging="360"/>
      </w:pPr>
      <w:r>
        <w:rPr>
          <w:rFonts w:ascii="Calibri" w:hAnsi="Calibri"/>
          <w:b/>
          <w:color w:val="525866"/>
          <w:sz w:val="22"/>
        </w:rPr>
        <w:t xml:space="preserve">Pre-spin (Apr 23 – Jun 24, 2026): </w:t>
      </w:r>
      <w:r>
        <w:rPr>
          <w:rFonts w:ascii="Calibri" w:hAnsi="Calibri"/>
          <w:color w:val="525866"/>
          <w:sz w:val="22"/>
        </w:rPr>
        <w:t>HON +6.1% vs. XLI +3.5% and SPY +3.5%. HON outperformed on the back of the June 8 Guidance Update Call (RemainCo framework introduced) and June 11 Investor Day (three-year targets, front-loaded EPS growth). The stock pulled back sharply on June 3–10 (Aerospace Investor Day in Phoenix; market digesting spin mechanics) before recovering strongly into the spin date.</w:t>
      </w:r>
    </w:p>
    <w:p>
      <w:pPr>
        <w:pStyle w:val="ListBullet"/>
        <w:ind w:left="360" w:hanging="360"/>
      </w:pPr>
      <w:r>
        <w:rPr>
          <w:rFonts w:ascii="Calibri" w:hAnsi="Calibri"/>
          <w:b/>
          <w:color w:val="525866"/>
          <w:sz w:val="22"/>
        </w:rPr>
        <w:t xml:space="preserve">Post-spin (Jun 29 – Jul 22, 2026): </w:t>
      </w:r>
      <w:r>
        <w:rPr>
          <w:rFonts w:ascii="Calibri" w:hAnsi="Calibri"/>
          <w:color w:val="525866"/>
          <w:sz w:val="22"/>
        </w:rPr>
        <w:t>HON (RemainCo) +2.3% vs. XLI -2.1% and SPY +0.9%. RemainCo HON has modestly outperformed the industrials ETF since the spin, suggesting the market is beginning to assign a pure-play automation premium. The July 8 guidance update (confirming $7.90–8.30 EPS on post-reverse-split basis) provided a clean reference point for the street.</w:t>
      </w:r>
    </w:p>
    <w:p>
      <w:pPr>
        <w:pStyle w:val="ListBullet"/>
        <w:ind w:left="360" w:hanging="360"/>
      </w:pPr>
      <w:r>
        <w:rPr>
          <w:rFonts w:ascii="Calibri" w:hAnsi="Calibri"/>
          <w:b/>
          <w:color w:val="525866"/>
          <w:sz w:val="22"/>
        </w:rPr>
        <w:t xml:space="preserve">Key events since Q1 earnings: </w:t>
      </w:r>
      <w:r>
        <w:rPr>
          <w:rFonts w:ascii="Calibri" w:hAnsi="Calibri"/>
          <w:color w:val="525866"/>
          <w:sz w:val="22"/>
        </w:rPr>
        <w:t>Jun 8 — Guidance Update Call (RemainCo framework); Jun 11 — Investor Day (three-year targets); Jun 15 — Board approves spin; Jun 29 — Aerospace spin-off effective + 1-for-2 reverse stock split; Jul 8 — Updated 2026 guidance (post-reverse-split EPS).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successful completion of the Aerospace spin-off on June 29</w:t>
      </w:r>
      <w:r>
        <w:rPr>
          <w:rFonts w:ascii="Calibri" w:hAnsi="Calibri"/>
          <w:color w:val="525866"/>
          <w:sz w:val="22"/>
        </w:rPr>
        <w:t xml:space="preserve">, which transforms HON into a pure-play automation company and unlocks a new valuation framework. The secondary catalyst is the </w:t>
      </w:r>
      <w:r>
        <w:rPr>
          <w:rFonts w:ascii="Calibri" w:hAnsi="Calibri"/>
          <w:b/>
          <w:color w:val="525866"/>
          <w:sz w:val="22"/>
        </w:rPr>
        <w:t>Middle East situation tracking materially better than Q2 guidance implied</w:t>
      </w:r>
      <w:r>
        <w:rPr>
          <w:rFonts w:ascii="Calibri" w:hAnsi="Calibri"/>
          <w:color w:val="525866"/>
          <w:sz w:val="22"/>
        </w:rPr>
        <w:t>, which sets up a potential revenue beat in PA&amp;T.</w:t>
      </w:r>
    </w:p>
    <w:p>
      <w:pPr>
        <w:pStyle w:val="ListBullet"/>
        <w:ind w:left="360" w:hanging="360"/>
      </w:pPr>
      <w:r>
        <w:rPr>
          <w:rFonts w:ascii="Calibri" w:hAnsi="Calibri"/>
          <w:b/>
          <w:color w:val="525866"/>
          <w:sz w:val="22"/>
        </w:rPr>
        <w:t>Jun 29, 2026 — Aerospace Spin-Off Completed (HONA begins trading on Nasdaq).</w:t>
      </w:r>
      <w:r>
        <w:rPr>
          <w:rFonts w:ascii="Calibri" w:hAnsi="Calibri"/>
          <w:i/>
          <w:color w:val="525866"/>
          <w:sz w:val="22"/>
        </w:rPr>
        <w:t xml:space="preserve"> Honeywell Aerospace Inc. (HONA) began trading as an independent public company. HON shareholders received 1 share of HONA for every 2 shares of HON held as of the June 15 record date. Simultaneously, HON executed a 1-for-2 reverse stock split, reducing shares outstanding from ~634M to ~317M. HON is now Honeywell Technologies — a pure-play automation company. </w:t>
      </w:r>
      <w:r>
        <w:rPr>
          <w:rFonts w:ascii="Calibri" w:hAnsi="Calibri"/>
          <w:b/>
          <w:color w:val="525866"/>
          <w:sz w:val="22"/>
        </w:rPr>
        <w:t xml:space="preserve">Implication: </w:t>
      </w:r>
      <w:r>
        <w:rPr>
          <w:rFonts w:ascii="Calibri" w:hAnsi="Calibri"/>
          <w:color w:val="525866"/>
          <w:sz w:val="22"/>
        </w:rPr>
        <w:t>First standalone RemainCo earnings on July 23 will set the baseline for pure-play automation valuation; segment margin and stranded cost trajectory are the key metrics to watch.</w:t>
      </w:r>
    </w:p>
    <w:p>
      <w:pPr>
        <w:pStyle w:val="ListBullet"/>
        <w:ind w:left="360" w:hanging="360"/>
      </w:pPr>
      <w:r>
        <w:rPr>
          <w:rFonts w:ascii="Calibri" w:hAnsi="Calibri"/>
          <w:b/>
          <w:color w:val="525866"/>
          <w:sz w:val="22"/>
        </w:rPr>
        <w:t>Jun 11, 2026 — Honeywell Technologies Investor Day (New York).</w:t>
      </w:r>
      <w:r>
        <w:rPr>
          <w:rFonts w:ascii="Calibri" w:hAnsi="Calibri"/>
          <w:i/>
          <w:color w:val="525866"/>
          <w:sz w:val="22"/>
        </w:rPr>
        <w:t xml:space="preserve"> Management introduced a three-year financial framework: 4–6% organic growth, 10%+ adjusted income growth through 2029, ~$6 EPS by 2029 (pre-reverse-split basis). CFO stated he would be “super disappointed” if 2027 EPS growth is not 12%+. Software ARR of ~$1B growing ~15%. Services/software mix targeted to grow from 40% to 45% of revenue. IA segment alone expected to deliver 100 bps of margin expansion for HON in next 12 months. </w:t>
      </w:r>
      <w:r>
        <w:rPr>
          <w:rFonts w:ascii="Calibri" w:hAnsi="Calibri"/>
          <w:b/>
          <w:color w:val="525866"/>
          <w:sz w:val="22"/>
        </w:rPr>
        <w:t xml:space="preserve">Implication: </w:t>
      </w:r>
      <w:r>
        <w:rPr>
          <w:rFonts w:ascii="Calibri" w:hAnsi="Calibri"/>
          <w:color w:val="525866"/>
          <w:sz w:val="22"/>
        </w:rPr>
        <w:t>Front-loaded EPS growth framework is a positive setup for Q2 and H2 2026 beats.</w:t>
      </w:r>
    </w:p>
    <w:p>
      <w:pPr>
        <w:pStyle w:val="ListBullet"/>
        <w:ind w:left="360" w:hanging="360"/>
      </w:pPr>
      <w:r>
        <w:rPr>
          <w:rFonts w:ascii="Calibri" w:hAnsi="Calibri"/>
          <w:b/>
          <w:color w:val="525866"/>
          <w:sz w:val="22"/>
        </w:rPr>
        <w:t>Jun 8, 2026 — Guidance Update Call (RemainCo Framework Introduced).</w:t>
      </w:r>
      <w:r>
        <w:rPr>
          <w:rFonts w:ascii="Calibri" w:hAnsi="Calibri"/>
          <w:i/>
          <w:color w:val="525866"/>
          <w:sz w:val="22"/>
        </w:rPr>
        <w:t xml:space="preserve"> HON introduced RemainCo-specific 2026 guidance: $19.9–20.2B sales, 2–3% organic growth, 19.8–20.3% segment margin, ~$2.0B FCF. Q2 confirmed on track. Middle East impact revised to $50–75M (vs. ~1% of revenue guided at Q1 earnings). Pricing running at ~4% in Q2. Stranded costs reduced to &lt;$300M day-one. Pension income excluded from adjusted results. Quantinuum deconsolidated following June 4 IPO. </w:t>
      </w:r>
      <w:r>
        <w:rPr>
          <w:rFonts w:ascii="Calibri" w:hAnsi="Calibri"/>
          <w:b/>
          <w:color w:val="525866"/>
          <w:sz w:val="22"/>
        </w:rPr>
        <w:t xml:space="preserve">Implication: </w:t>
      </w:r>
      <w:r>
        <w:rPr>
          <w:rFonts w:ascii="Calibri" w:hAnsi="Calibri"/>
          <w:color w:val="525866"/>
          <w:sz w:val="22"/>
        </w:rPr>
        <w:t>Multiple positive revisions to the Q2 setup; the cleaner reporting framework removes noise.</w:t>
      </w:r>
    </w:p>
    <w:p>
      <w:pPr>
        <w:pStyle w:val="ListBullet"/>
        <w:ind w:left="360" w:hanging="360"/>
      </w:pPr>
      <w:r>
        <w:rPr>
          <w:rFonts w:ascii="Calibri" w:hAnsi="Calibri"/>
          <w:b/>
          <w:color w:val="525866"/>
          <w:sz w:val="22"/>
        </w:rPr>
        <w:t>Jun 4, 2026 — Quantinuum IPO Completed.</w:t>
      </w:r>
      <w:r>
        <w:rPr>
          <w:rFonts w:ascii="Calibri" w:hAnsi="Calibri"/>
          <w:i/>
          <w:color w:val="525866"/>
          <w:sz w:val="22"/>
        </w:rPr>
        <w:t xml:space="preserve"> Quantinuum went public; HON retains 47% ownership. Deconsolidation of Quantinuum results from HON financials effective Q2 2026. Removal improves segment profit by ~$300M, translating to ~$0.19 of EPS and ~$100M of FCF. HON books a $5B+ pickup in the value of the investment. </w:t>
      </w:r>
      <w:r>
        <w:rPr>
          <w:rFonts w:ascii="Calibri" w:hAnsi="Calibri"/>
          <w:b/>
          <w:color w:val="525866"/>
          <w:sz w:val="22"/>
        </w:rPr>
        <w:t xml:space="preserve">Implication: </w:t>
      </w:r>
      <w:r>
        <w:rPr>
          <w:rFonts w:ascii="Calibri" w:hAnsi="Calibri"/>
          <w:color w:val="525866"/>
          <w:sz w:val="22"/>
        </w:rPr>
        <w:t>Simplifies HON financials; the $5B+ book value pickup is a balance sheet positive.</w:t>
      </w:r>
    </w:p>
    <w:p>
      <w:pPr>
        <w:pStyle w:val="ListBullet"/>
        <w:ind w:left="360" w:hanging="360"/>
      </w:pPr>
      <w:r>
        <w:rPr>
          <w:rFonts w:ascii="Calibri" w:hAnsi="Calibri"/>
          <w:b/>
          <w:color w:val="525866"/>
          <w:sz w:val="22"/>
        </w:rPr>
        <w:t>May 2026 (mid-month) — CFO Commentary: Middle East Tracking Better Than Feared.</w:t>
      </w:r>
      <w:r>
        <w:rPr>
          <w:rFonts w:ascii="Calibri" w:hAnsi="Calibri"/>
          <w:i/>
          <w:color w:val="525866"/>
          <w:sz w:val="22"/>
        </w:rPr>
        <w:t xml:space="preserve"> CFO indicated Q2 Middle East impact is tracking “well below the low end” of the guided range, with customers actively engaged on repairs and already planning future expansion. Characterized the situation as “resilient” and “better than what we thought.” </w:t>
      </w:r>
      <w:r>
        <w:rPr>
          <w:rFonts w:ascii="Calibri" w:hAnsi="Calibri"/>
          <w:b/>
          <w:color w:val="525866"/>
          <w:sz w:val="22"/>
        </w:rPr>
        <w:t xml:space="preserve">Implication: </w:t>
      </w:r>
      <w:r>
        <w:rPr>
          <w:rFonts w:ascii="Calibri" w:hAnsi="Calibri"/>
          <w:color w:val="525866"/>
          <w:sz w:val="22"/>
        </w:rPr>
        <w:t>Sets up a potential PA&amp;T revenue beat in Q2; reconstruction orders beginning to flow.</w:t>
      </w:r>
    </w:p>
    <w:p>
      <w:pPr>
        <w:pStyle w:val="ListBullet"/>
        <w:ind w:left="360" w:hanging="360"/>
      </w:pPr>
      <w:r>
        <w:rPr>
          <w:rFonts w:ascii="Calibri" w:hAnsi="Calibri"/>
          <w:b/>
          <w:color w:val="525866"/>
          <w:sz w:val="22"/>
        </w:rPr>
        <w:t>Jul 8, 2026 — Updated 2026 Financial Guidance (Post-Reverse-Split).</w:t>
      </w:r>
      <w:r>
        <w:rPr>
          <w:rFonts w:ascii="Calibri" w:hAnsi="Calibri"/>
          <w:i/>
          <w:color w:val="525866"/>
          <w:sz w:val="22"/>
        </w:rPr>
        <w:t xml:space="preserve"> HON updated EPS guidance to reflect the 1-for-2 reverse stock split: full-year $7.90–8.30 (vs. prior $3.95–4.15); H2 $4.40–4.70. All other metrics unchanged (sales $19.9–20.2B, organic growth 2–3%, segment margin 19.8–20.3%, FCF ~$2.0B). H2 operating cash flow guidance revised to ~$1.7B (from ~$2.3B) due to higher CapEx and spin-related cost payments. </w:t>
      </w:r>
      <w:r>
        <w:rPr>
          <w:rFonts w:ascii="Calibri" w:hAnsi="Calibri"/>
          <w:b/>
          <w:color w:val="525866"/>
          <w:sz w:val="22"/>
        </w:rPr>
        <w:t xml:space="preserve">Implication: </w:t>
      </w:r>
      <w:r>
        <w:rPr>
          <w:rFonts w:ascii="Calibri" w:hAnsi="Calibri"/>
          <w:color w:val="525866"/>
          <w:sz w:val="22"/>
        </w:rPr>
        <w:t>Provides clean post-split reference point; no operational changes to guidance.</w:t>
      </w:r>
    </w:p>
    <w:p>
      <w:pPr>
        <w:pStyle w:val="ListBullet"/>
        <w:ind w:left="360" w:hanging="360"/>
      </w:pPr>
      <w:r>
        <w:rPr>
          <w:rFonts w:ascii="Calibri" w:hAnsi="Calibri"/>
          <w:b/>
          <w:color w:val="525866"/>
          <w:sz w:val="22"/>
        </w:rPr>
        <w:t>Jun 29, 2026 — Trademark License Agreement with Honeywell Aerospace.</w:t>
      </w:r>
      <w:r>
        <w:rPr>
          <w:rFonts w:ascii="Calibri" w:hAnsi="Calibri"/>
          <w:i/>
          <w:color w:val="525866"/>
          <w:sz w:val="22"/>
        </w:rPr>
        <w:t xml:space="preserve"> HON Technologies receives trademark license income from HONA for use of the “Honeywell Aerospace” brand over approximately five years. License income partially offsets stranded costs: $146M annually to segment profit, $73M half-year impact in 2026 (~$0.09 EPS). </w:t>
      </w:r>
      <w:r>
        <w:rPr>
          <w:rFonts w:ascii="Calibri" w:hAnsi="Calibri"/>
          <w:b/>
          <w:color w:val="525866"/>
          <w:sz w:val="22"/>
        </w:rPr>
        <w:t xml:space="preserve">Implication: </w:t>
      </w:r>
      <w:r>
        <w:rPr>
          <w:rFonts w:ascii="Calibri" w:hAnsi="Calibri"/>
          <w:color w:val="525866"/>
          <w:sz w:val="22"/>
        </w:rPr>
        <w:t>Meaningful offset to stranded cost headwind; improves RemainCo FCF profile.</w:t>
      </w:r>
    </w:p>
    <w:p>
      <w:pPr>
        <w:pStyle w:val="ListBullet"/>
        <w:ind w:left="360" w:hanging="360"/>
      </w:pPr>
      <w:r>
        <w:rPr>
          <w:rFonts w:ascii="Calibri" w:hAnsi="Calibri"/>
          <w:b/>
          <w:color w:val="525866"/>
          <w:sz w:val="22"/>
        </w:rPr>
        <w:t>Pending — Johnson Matthey Catalyst Technologies Acquisition (Expected Q3 2026 Close).</w:t>
      </w:r>
      <w:r>
        <w:rPr>
          <w:rFonts w:ascii="Calibri" w:hAnsi="Calibri"/>
          <w:i/>
          <w:color w:val="525866"/>
          <w:sz w:val="22"/>
        </w:rPr>
        <w:t xml:space="preserve"> Agreement amended to adjust total consideration downward given market conditions. Assumed to close July 1 for modeling purposes per Jun 8 guidance call. Adds scale to PA&amp;T’s catalyst business; management views as long-term strategic fit with strong market positioning. </w:t>
      </w:r>
      <w:r>
        <w:rPr>
          <w:rFonts w:ascii="Calibri" w:hAnsi="Calibri"/>
          <w:b/>
          <w:color w:val="525866"/>
          <w:sz w:val="22"/>
        </w:rPr>
        <w:t xml:space="preserve">Implication: </w:t>
      </w:r>
      <w:r>
        <w:rPr>
          <w:rFonts w:ascii="Calibri" w:hAnsi="Calibri"/>
          <w:color w:val="525866"/>
          <w:sz w:val="22"/>
        </w:rPr>
        <w:t>Near-term margin dilutive (pulls PA&amp;T margins down in short term) but large rate-of-change opportunity; watch for close confirmation on Q2 call.</w:t>
      </w:r>
    </w:p>
    <w:p>
      <w:pPr>
        <w:pStyle w:val="ListBullet"/>
        <w:ind w:left="360" w:hanging="360"/>
      </w:pPr>
      <w:r>
        <w:rPr>
          <w:rFonts w:ascii="Calibri" w:hAnsi="Calibri"/>
          <w:b/>
          <w:color w:val="525866"/>
          <w:sz w:val="22"/>
        </w:rPr>
        <w:t>Pending — PSS Sale to Brady Corporation &amp; WWS Sale to American Industrial Partners (Expected Q4 2026 Close).</w:t>
      </w:r>
      <w:r>
        <w:rPr>
          <w:rFonts w:ascii="Calibri" w:hAnsi="Calibri"/>
          <w:i/>
          <w:color w:val="525866"/>
          <w:sz w:val="22"/>
        </w:rPr>
        <w:t xml:space="preserve"> Both divestitures assumed to close October 1 for modeling purposes. Excluded from RemainCo guidance from Q4 onwards. </w:t>
      </w:r>
      <w:r>
        <w:rPr>
          <w:rFonts w:ascii="Calibri" w:hAnsi="Calibri"/>
          <w:b/>
          <w:color w:val="525866"/>
          <w:sz w:val="22"/>
        </w:rPr>
        <w:t xml:space="preserve">Implication: </w:t>
      </w:r>
      <w:r>
        <w:rPr>
          <w:rFonts w:ascii="Calibri" w:hAnsi="Calibri"/>
          <w:color w:val="525866"/>
          <w:sz w:val="22"/>
        </w:rPr>
        <w:t>Further simplifies IA segment to pure sensing/measurement; accretive to IA margins post-close.</w:t>
      </w:r>
    </w:p>
    <w:p>
      <w:pPr>
        <w:pStyle w:val="ListBullet"/>
        <w:ind w:left="360" w:hanging="360"/>
      </w:pPr>
      <w:r>
        <w:rPr>
          <w:rFonts w:ascii="Calibri" w:hAnsi="Calibri"/>
          <w:b/>
          <w:color w:val="525866"/>
          <w:sz w:val="22"/>
        </w:rPr>
        <w:t>Honeywell Aerospace — Dept. of War Framework Agreement.</w:t>
      </w:r>
      <w:r>
        <w:rPr>
          <w:rFonts w:ascii="Calibri" w:hAnsi="Calibri"/>
          <w:i/>
          <w:color w:val="525866"/>
          <w:sz w:val="22"/>
        </w:rPr>
        <w:t xml:space="preserve"> Honeywell Aerospace (now HONA) signed a multi-year supplier framework agreement with the U.S. Department of War for navigation systems, actuators, and electronic warfare solutions. Management characterized this as a multibillion-dollar revenue opportunity. </w:t>
      </w:r>
      <w:r>
        <w:rPr>
          <w:rFonts w:ascii="Calibri" w:hAnsi="Calibri"/>
          <w:b/>
          <w:color w:val="525866"/>
          <w:sz w:val="22"/>
        </w:rPr>
        <w:t xml:space="preserve">Implication: </w:t>
      </w:r>
      <w:r>
        <w:rPr>
          <w:rFonts w:ascii="Calibri" w:hAnsi="Calibri"/>
          <w:color w:val="525866"/>
          <w:sz w:val="22"/>
        </w:rPr>
        <w:t>Positive for HONA (separate entity); no direct P&amp;L impact on HON Technologies, but validates the defense demand backdrop that benefits HON’s remaining defense-adjacent businesses.</w:t>
      </w:r>
    </w:p>
    <w:p>
      <w:r>
        <w:br w:type="page"/>
      </w:r>
    </w:p>
    <w:p>
      <w:pPr>
        <w:pStyle w:val="Heading2"/>
      </w:pPr>
      <w:r>
        <w:rPr>
          <w:rFonts w:ascii="Calibri" w:hAnsi="Calibri"/>
          <w:b/>
          <w:color w:val="3B4259"/>
          <w:sz w:val="28"/>
        </w:rPr>
        <w:t>7. Peer Commentaries — Read-Through Analysis</w:t>
      </w:r>
    </w:p>
    <w:p>
      <w:r>
        <w:rPr>
          <w:rFonts w:ascii="Calibri" w:hAnsi="Calibri"/>
          <w:b/>
          <w:color w:val="525866"/>
          <w:sz w:val="22"/>
        </w:rPr>
        <w:t xml:space="preserve">Key Takeaway: </w:t>
      </w:r>
      <w:r>
        <w:rPr>
          <w:rFonts w:ascii="Calibri" w:hAnsi="Calibri"/>
          <w:color w:val="525866"/>
          <w:sz w:val="22"/>
        </w:rPr>
        <w:t xml:space="preserve">Peer commentary from the last 60 days is broadly </w:t>
      </w:r>
      <w:r>
        <w:rPr>
          <w:rFonts w:ascii="Calibri" w:hAnsi="Calibri"/>
          <w:b/>
          <w:color w:val="525866"/>
          <w:sz w:val="22"/>
        </w:rPr>
        <w:t>constructive for HON's Q2 setup</w:t>
      </w:r>
      <w:r>
        <w:rPr>
          <w:rFonts w:ascii="Calibri" w:hAnsi="Calibri"/>
          <w:color w:val="525866"/>
          <w:sz w:val="22"/>
        </w:rPr>
        <w:t xml:space="preserve">: aerospace aftermarket demand is proving more resilient than feared (GE Aerospace), industrial automation demand is broadening into data centers and energy (Rockwell Automation), and HVAC/building automation demand is accelerating with data center exposure (Carrier). The </w:t>
      </w:r>
      <w:r>
        <w:rPr>
          <w:rFonts w:ascii="Calibri" w:hAnsi="Calibri"/>
          <w:b/>
          <w:color w:val="525866"/>
          <w:sz w:val="22"/>
        </w:rPr>
        <w:t>Middle East recovery narrative is consistent across peers</w:t>
      </w:r>
      <w:r>
        <w:rPr>
          <w:rFonts w:ascii="Calibri" w:hAnsi="Calibri"/>
          <w:color w:val="525866"/>
          <w:sz w:val="22"/>
        </w:rPr>
        <w:t>, with Carrier and Rockwell both noting limited direct exposure and early signs of reconstruction activity.</w:t>
      </w:r>
    </w:p>
    <w:p>
      <w:r>
        <w:rPr>
          <w:rFonts w:ascii="Calibri" w:hAnsi="Calibri"/>
          <w:b/>
          <w:color w:val="525866"/>
          <w:sz w:val="22"/>
        </w:rPr>
        <w:t xml:space="preserve">Note: </w:t>
      </w:r>
      <w:r>
        <w:rPr>
          <w:rFonts w:ascii="Calibri" w:hAnsi="Calibri"/>
          <w:color w:val="525866"/>
          <w:sz w:val="22"/>
        </w:rPr>
        <w:t>Only commentary about Q2 2026 (the current reporting quarter) or forward-looking commentary made after Q1 2025 earnings is included. Prior-quarter results commentary is excluded.</w:t>
      </w:r>
    </w:p>
    <w:p>
      <w:pPr>
        <w:pStyle w:val="Heading3"/>
      </w:pPr>
      <w:r>
        <w:rPr>
          <w:rFonts w:ascii="Calibri" w:hAnsi="Calibri"/>
          <w:b/>
          <w:color w:val="3B4259"/>
          <w:sz w:val="24"/>
        </w:rPr>
        <w:t>GE Aerospace (GE) — Q2 2026 Earnings Call (July 16, 2026) &amp; Bernstein Conference (May 27, 2026)</w:t>
      </w:r>
    </w:p>
    <w:p>
      <w:r>
        <w:rPr>
          <w:rFonts w:ascii="Calibri" w:hAnsi="Calibri"/>
          <w:b/>
          <w:color w:val="525866"/>
          <w:sz w:val="22"/>
        </w:rPr>
        <w:t xml:space="preserve">Read-Through Relevance: </w:t>
      </w:r>
      <w:r>
        <w:rPr>
          <w:rFonts w:ascii="Calibri" w:hAnsi="Calibri"/>
          <w:color w:val="525866"/>
          <w:sz w:val="22"/>
        </w:rPr>
        <w:t>GE Aerospace is the most direct read-through for HON’s Aerospace Technologies segment (now HONA), but also signals the broader aerospace aftermarket environment that benefits HON’s remaining defense-adjacent and sensing businesses.</w:t>
      </w:r>
    </w:p>
    <w:p>
      <w:pPr>
        <w:pStyle w:val="ListBullet"/>
        <w:ind w:left="360" w:hanging="360"/>
      </w:pPr>
      <w:r>
        <w:rPr>
          <w:rFonts w:ascii="Calibri" w:hAnsi="Calibri"/>
          <w:b/>
          <w:color w:val="525866"/>
          <w:sz w:val="22"/>
        </w:rPr>
        <w:t xml:space="preserve">Aerospace aftermarket demand is proving far more resilient than feared. </w:t>
      </w:r>
      <w:r>
        <w:rPr>
          <w:rFonts w:ascii="Calibri" w:hAnsi="Calibri"/>
          <w:i/>
          <w:color w:val="525866"/>
          <w:sz w:val="22"/>
        </w:rPr>
        <w:t xml:space="preserve">GE Aerospace raised its 2026 commercial services growth outlook to ~20% (from mid-teens) and raised EPS guidance by $0.35 at the midpoint. CEO Larry Culp stated explicitly: “We do not have a demand problem.” Spare parts orders accelerated from +30% growth at Q1 earnings to “closer to 40%” in the 60 days since. The company is “40% oversubscribed on shop visits.” </w:t>
      </w:r>
      <w:r>
        <w:rPr>
          <w:rFonts w:ascii="Calibri" w:hAnsi="Calibri"/>
          <w:b/>
          <w:color w:val="525866"/>
          <w:sz w:val="22"/>
        </w:rPr>
        <w:t xml:space="preserve">HON Read-Through: </w:t>
      </w:r>
      <w:r>
        <w:rPr>
          <w:rFonts w:ascii="Calibri" w:hAnsi="Calibri"/>
          <w:color w:val="525866"/>
          <w:sz w:val="22"/>
        </w:rPr>
        <w:t>Validates the aerospace aftermarket demand backdrop that supports HONA’s standalone thesis; also positive for HON Technologies’ remaining aerospace-adjacent sensing and defense businesses.</w:t>
      </w:r>
    </w:p>
    <w:p>
      <w:pPr>
        <w:pStyle w:val="ListBullet"/>
        <w:ind w:left="360" w:hanging="360"/>
      </w:pPr>
      <w:r>
        <w:rPr>
          <w:rFonts w:ascii="Calibri" w:hAnsi="Calibri"/>
          <w:b/>
          <w:color w:val="525866"/>
          <w:sz w:val="22"/>
        </w:rPr>
        <w:t xml:space="preserve">Parked aircraft declining, no bow wave of retirements. </w:t>
      </w:r>
      <w:r>
        <w:rPr>
          <w:rFonts w:ascii="Calibri" w:hAnsi="Calibri"/>
          <w:i/>
          <w:color w:val="525866"/>
          <w:sz w:val="22"/>
        </w:rPr>
        <w:t xml:space="preserve">GE noted parked aircraft declined in May vs. April and vs. the start of the year. “A bow wave of retirements we do not believe is looming.” Airlines are “continuing to invest and prepare for whatever is on the other side of the current situation.” </w:t>
      </w:r>
      <w:r>
        <w:rPr>
          <w:rFonts w:ascii="Calibri" w:hAnsi="Calibri"/>
          <w:b/>
          <w:color w:val="525866"/>
          <w:sz w:val="22"/>
        </w:rPr>
        <w:t xml:space="preserve">HON Read-Through: </w:t>
      </w:r>
      <w:r>
        <w:rPr>
          <w:rFonts w:ascii="Calibri" w:hAnsi="Calibri"/>
          <w:color w:val="525866"/>
          <w:sz w:val="22"/>
        </w:rPr>
        <w:t>Positive for aerospace aftermarket durability; supports HON’s thesis that aerospace supply chain disruptions in Q1 were transitory.</w:t>
      </w:r>
    </w:p>
    <w:p>
      <w:pPr>
        <w:pStyle w:val="ListBullet"/>
        <w:ind w:left="360" w:hanging="360"/>
      </w:pPr>
      <w:r>
        <w:rPr>
          <w:rFonts w:ascii="Calibri" w:hAnsi="Calibri"/>
          <w:b/>
          <w:color w:val="525866"/>
          <w:sz w:val="22"/>
        </w:rPr>
        <w:t xml:space="preserve">Middle East: no operational impact, no commercial behavioral changes. </w:t>
      </w:r>
      <w:r>
        <w:rPr>
          <w:rFonts w:ascii="Calibri" w:hAnsi="Calibri"/>
          <w:i/>
          <w:color w:val="525866"/>
          <w:sz w:val="22"/>
        </w:rPr>
        <w:t xml:space="preserve">GE Aerospace stated it has “really seen no operational impact, no commercial behavioral changes on the part of our customers” from the Middle East conflict. The company noted that if not for active combat, it “clearly would have done something with the guide” (i.e., raised it further). </w:t>
      </w:r>
      <w:r>
        <w:rPr>
          <w:rFonts w:ascii="Calibri" w:hAnsi="Calibri"/>
          <w:b/>
          <w:color w:val="525866"/>
          <w:sz w:val="22"/>
        </w:rPr>
        <w:t xml:space="preserve">HON Read-Through: </w:t>
      </w:r>
      <w:r>
        <w:rPr>
          <w:rFonts w:ascii="Calibri" w:hAnsi="Calibri"/>
          <w:color w:val="525866"/>
          <w:sz w:val="22"/>
        </w:rPr>
        <w:t>Consistent with HON’s own mid-May commentary that Q2 Middle East impact is tracking well below the low end of the guided range. Supports the view that PA&amp;T’s Q2 headwind is transitory and H2 recovery is on track.</w:t>
      </w:r>
    </w:p>
    <w:p>
      <w:pPr>
        <w:pStyle w:val="ListBullet"/>
        <w:ind w:left="360" w:hanging="360"/>
      </w:pPr>
      <w:r>
        <w:rPr>
          <w:rFonts w:ascii="Calibri" w:hAnsi="Calibri"/>
          <w:b/>
          <w:color w:val="525866"/>
          <w:sz w:val="22"/>
        </w:rPr>
        <w:t xml:space="preserve">Defense demand: generational, bipartisan, international. </w:t>
      </w:r>
      <w:r>
        <w:rPr>
          <w:rFonts w:ascii="Calibri" w:hAnsi="Calibri"/>
          <w:i/>
          <w:color w:val="525866"/>
          <w:sz w:val="22"/>
        </w:rPr>
        <w:t xml:space="preserve">GE’s Defense &amp; Propulsion Technologies segment raised its growth outlook to low double digits (from mid-to-high single digits). DPT backlog is over $30B, up ~$5B since the start of the year. “The need for integrated air and missile defense has never been more important.” </w:t>
      </w:r>
      <w:r>
        <w:rPr>
          <w:rFonts w:ascii="Calibri" w:hAnsi="Calibri"/>
          <w:b/>
          <w:color w:val="525866"/>
          <w:sz w:val="22"/>
        </w:rPr>
        <w:t xml:space="preserve">HON Read-Through: </w:t>
      </w:r>
      <w:r>
        <w:rPr>
          <w:rFonts w:ascii="Calibri" w:hAnsi="Calibri"/>
          <w:color w:val="525866"/>
          <w:sz w:val="22"/>
        </w:rPr>
        <w:t>Positive for HON’s defense-adjacent sensing and navigation businesses; validates the defense demand backdrop cited in HON’s Dept. of War framework agreement.</w:t>
      </w:r>
    </w:p>
    <w:p>
      <w:pPr>
        <w:pStyle w:val="ListBullet"/>
        <w:ind w:left="360" w:hanging="360"/>
      </w:pPr>
      <w:r>
        <w:rPr>
          <w:rFonts w:ascii="Calibri" w:hAnsi="Calibri"/>
          <w:b/>
          <w:color w:val="525866"/>
          <w:sz w:val="22"/>
        </w:rPr>
        <w:t xml:space="preserve">Supply chain remains the constraint, not demand. </w:t>
      </w:r>
      <w:r>
        <w:rPr>
          <w:rFonts w:ascii="Calibri" w:hAnsi="Calibri"/>
          <w:i/>
          <w:color w:val="525866"/>
          <w:sz w:val="22"/>
        </w:rPr>
        <w:t xml:space="preserve">GE noted the challenge is “much more supply side than demand.” Castings and microelectronics remain watch areas. The company is entering Q3 with over 95% of spare parts revenue already in backlog. </w:t>
      </w:r>
      <w:r>
        <w:rPr>
          <w:rFonts w:ascii="Calibri" w:hAnsi="Calibri"/>
          <w:b/>
          <w:color w:val="525866"/>
          <w:sz w:val="22"/>
        </w:rPr>
        <w:t xml:space="preserve">HON Read-Through: </w:t>
      </w:r>
      <w:r>
        <w:rPr>
          <w:rFonts w:ascii="Calibri" w:hAnsi="Calibri"/>
          <w:color w:val="525866"/>
          <w:sz w:val="22"/>
        </w:rPr>
        <w:t>HON’s Q1 aerospace supply chain disruptions (mechanical products in engines and power systems) were characterized as acute and transitory; GE’s commentary confirms the demand environment is intact and supply is the binding constraint.</w:t>
      </w:r>
    </w:p>
    <w:p>
      <w:pPr>
        <w:pStyle w:val="Heading3"/>
      </w:pPr>
      <w:r>
        <w:rPr>
          <w:rFonts w:ascii="Calibri" w:hAnsi="Calibri"/>
          <w:b/>
          <w:color w:val="3B4259"/>
          <w:sz w:val="24"/>
        </w:rPr>
        <w:t>RTX Corporation (RTX) — Bernstein Conference (May 29, 2026) &amp; Q2 2026 Preliminary Results (July 9, 2026)</w:t>
      </w:r>
    </w:p>
    <w:p>
      <w:r>
        <w:rPr>
          <w:rFonts w:ascii="Calibri" w:hAnsi="Calibri"/>
          <w:b/>
          <w:color w:val="525866"/>
          <w:sz w:val="22"/>
        </w:rPr>
        <w:t xml:space="preserve">Read-Through Relevance: </w:t>
      </w:r>
      <w:r>
        <w:rPr>
          <w:rFonts w:ascii="Calibri" w:hAnsi="Calibri"/>
          <w:color w:val="525866"/>
          <w:sz w:val="22"/>
        </w:rPr>
        <w:t>RTX is a direct aerospace peer with significant commercial aftermarket and defense exposure, providing a read-through for HON’s aerospace-adjacent businesses and the broader defense demand environment.</w:t>
      </w:r>
    </w:p>
    <w:p>
      <w:pPr>
        <w:pStyle w:val="ListBullet"/>
        <w:ind w:left="360" w:hanging="360"/>
      </w:pPr>
      <w:r>
        <w:rPr>
          <w:rFonts w:ascii="Calibri" w:hAnsi="Calibri"/>
          <w:b/>
          <w:color w:val="525866"/>
          <w:sz w:val="22"/>
        </w:rPr>
        <w:t xml:space="preserve">Commercial and defense demand “continues to be really strong.” </w:t>
      </w:r>
      <w:r>
        <w:rPr>
          <w:rFonts w:ascii="Calibri" w:hAnsi="Calibri"/>
          <w:i/>
          <w:color w:val="525866"/>
          <w:sz w:val="22"/>
        </w:rPr>
        <w:t xml:space="preserve">RTX CEO Christopher Calio stated the macro environment on both sides “continues to be really strong.” The company holds a $271B backlog with a 1.5x book-to-bill over the last 12 months. Pentagon framework agreements (not yet in the backlog) represent “7-year firm demand.” </w:t>
      </w:r>
      <w:r>
        <w:rPr>
          <w:rFonts w:ascii="Calibri" w:hAnsi="Calibri"/>
          <w:b/>
          <w:color w:val="525866"/>
          <w:sz w:val="22"/>
        </w:rPr>
        <w:t xml:space="preserve">HON Read-Through: </w:t>
      </w:r>
      <w:r>
        <w:rPr>
          <w:rFonts w:ascii="Calibri" w:hAnsi="Calibri"/>
          <w:color w:val="525866"/>
          <w:sz w:val="22"/>
        </w:rPr>
        <w:t>Validates the durable defense demand backdrop; supports HON’s Dept. of War framework agreement and defense-adjacent sensing businesses.</w:t>
      </w:r>
    </w:p>
    <w:p>
      <w:pPr>
        <w:pStyle w:val="ListBullet"/>
        <w:ind w:left="360" w:hanging="360"/>
      </w:pPr>
      <w:r>
        <w:rPr>
          <w:rFonts w:ascii="Calibri" w:hAnsi="Calibri"/>
          <w:b/>
          <w:color w:val="525866"/>
          <w:sz w:val="22"/>
        </w:rPr>
        <w:t xml:space="preserve">GTF AOG situation continuing to improve. </w:t>
      </w:r>
      <w:r>
        <w:rPr>
          <w:rFonts w:ascii="Calibri" w:hAnsi="Calibri"/>
          <w:i/>
          <w:color w:val="525866"/>
          <w:sz w:val="22"/>
        </w:rPr>
        <w:t xml:space="preserve">RTX noted the GTF engine AOG situation is on a “downward trajectory” continuing into Q2. Pratt &amp; Whitney expects to deliver more engines to Airbus in 2026 than 2025. MRO output is “going to continue to grow throughout the year.” </w:t>
      </w:r>
      <w:r>
        <w:rPr>
          <w:rFonts w:ascii="Calibri" w:hAnsi="Calibri"/>
          <w:b/>
          <w:color w:val="525866"/>
          <w:sz w:val="22"/>
        </w:rPr>
        <w:t xml:space="preserve">HON Read-Through: </w:t>
      </w:r>
      <w:r>
        <w:rPr>
          <w:rFonts w:ascii="Calibri" w:hAnsi="Calibri"/>
          <w:color w:val="525866"/>
          <w:sz w:val="22"/>
        </w:rPr>
        <w:t>Positive for aerospace supply chain normalization; consistent with HON’s Q1 commentary that aerospace mechanical supply chain disruptions were transitory and recovery was visible in March/April.</w:t>
      </w:r>
    </w:p>
    <w:p>
      <w:pPr>
        <w:pStyle w:val="ListBullet"/>
        <w:ind w:left="360" w:hanging="360"/>
      </w:pPr>
      <w:r>
        <w:rPr>
          <w:rFonts w:ascii="Calibri" w:hAnsi="Calibri"/>
          <w:b/>
          <w:color w:val="525866"/>
          <w:sz w:val="22"/>
        </w:rPr>
        <w:t xml:space="preserve">Raytheon defense margins: room to grow beyond 12%. </w:t>
      </w:r>
      <w:r>
        <w:rPr>
          <w:rFonts w:ascii="Calibri" w:hAnsi="Calibri"/>
          <w:i/>
          <w:color w:val="525866"/>
          <w:sz w:val="22"/>
        </w:rPr>
        <w:t xml:space="preserve">RTX management stated they are “not capping this business at 12%” margins, with 48% of Raytheon’s backlog being international (which “tend to have higher margins”). Framework agreements seen as “really, really good potential business” for margin improvement. </w:t>
      </w:r>
      <w:r>
        <w:rPr>
          <w:rFonts w:ascii="Calibri" w:hAnsi="Calibri"/>
          <w:b/>
          <w:color w:val="525866"/>
          <w:sz w:val="22"/>
        </w:rPr>
        <w:t xml:space="preserve">HON Read-Through: </w:t>
      </w:r>
      <w:r>
        <w:rPr>
          <w:rFonts w:ascii="Calibri" w:hAnsi="Calibri"/>
          <w:color w:val="525866"/>
          <w:sz w:val="22"/>
        </w:rPr>
        <w:t>Positive for defense-adjacent margin expansion thesis; validates HON’s defense sensing and navigation businesses.</w:t>
      </w:r>
    </w:p>
    <w:p>
      <w:pPr>
        <w:pStyle w:val="ListBullet"/>
        <w:ind w:left="360" w:hanging="360"/>
      </w:pPr>
      <w:r>
        <w:rPr>
          <w:rFonts w:ascii="Calibri" w:hAnsi="Calibri"/>
          <w:b/>
          <w:color w:val="525866"/>
          <w:sz w:val="22"/>
        </w:rPr>
        <w:t xml:space="preserve">RTX investing in automation and supply chain capacity. </w:t>
      </w:r>
      <w:r>
        <w:rPr>
          <w:rFonts w:ascii="Calibri" w:hAnsi="Calibri"/>
          <w:i/>
          <w:color w:val="525866"/>
          <w:sz w:val="22"/>
        </w:rPr>
        <w:t xml:space="preserve">RTX is investing in “automation and the data we need to meet the rates we’re going to have to achieve,” qualifying 150 new suppliers in 2025 alone. Framework agreements imply production rates “2 to 4x the rates that we’re at today.” </w:t>
      </w:r>
      <w:r>
        <w:rPr>
          <w:rFonts w:ascii="Calibri" w:hAnsi="Calibri"/>
          <w:b/>
          <w:color w:val="525866"/>
          <w:sz w:val="22"/>
        </w:rPr>
        <w:t xml:space="preserve">HON Read-Through: </w:t>
      </w:r>
      <w:r>
        <w:rPr>
          <w:rFonts w:ascii="Calibri" w:hAnsi="Calibri"/>
          <w:color w:val="525866"/>
          <w:sz w:val="22"/>
        </w:rPr>
        <w:t>Positive demand signal for HON’s industrial automation and sensing businesses serving aerospace OEMs.</w:t>
      </w:r>
    </w:p>
    <w:p>
      <w:pPr>
        <w:pStyle w:val="Heading3"/>
      </w:pPr>
      <w:r>
        <w:rPr>
          <w:rFonts w:ascii="Calibri" w:hAnsi="Calibri"/>
          <w:b/>
          <w:color w:val="3B4259"/>
          <w:sz w:val="24"/>
        </w:rPr>
        <w:t>Rockwell Automation (ROK) — Baird Conference (June 2, 2026) &amp; Wells Fargo Conference (June 11, 2026)</w:t>
      </w:r>
    </w:p>
    <w:p>
      <w:r>
        <w:rPr>
          <w:rFonts w:ascii="Calibri" w:hAnsi="Calibri"/>
          <w:b/>
          <w:color w:val="525866"/>
          <w:sz w:val="22"/>
        </w:rPr>
        <w:t xml:space="preserve">Read-Through Relevance: </w:t>
      </w:r>
      <w:r>
        <w:rPr>
          <w:rFonts w:ascii="Calibri" w:hAnsi="Calibri"/>
          <w:color w:val="525866"/>
          <w:sz w:val="22"/>
        </w:rPr>
        <w:t>Rockwell Automation is the most direct peer for HON’s Industrial Automation and Process Automation segments, with overlapping end markets in discrete, hybrid, and process industries.</w:t>
      </w:r>
    </w:p>
    <w:p>
      <w:pPr>
        <w:pStyle w:val="ListBullet"/>
        <w:ind w:left="360" w:hanging="360"/>
      </w:pPr>
      <w:r>
        <w:rPr>
          <w:rFonts w:ascii="Calibri" w:hAnsi="Calibri"/>
          <w:b/>
          <w:color w:val="525866"/>
          <w:sz w:val="22"/>
        </w:rPr>
        <w:t xml:space="preserve">Q2 2026 demand was “very strong” across discrete, hybrid, and process end markets. </w:t>
      </w:r>
      <w:r>
        <w:rPr>
          <w:rFonts w:ascii="Calibri" w:hAnsi="Calibri"/>
          <w:i/>
          <w:color w:val="525866"/>
          <w:sz w:val="22"/>
        </w:rPr>
        <w:t xml:space="preserve">ROK reported “very strong performance in Q2 across a number of industries” with Intelligent Devices up 9% organically. Data center business “more than doubled” in Q2 (low single-digit % of revenue but growing strong double digits). Semiconductor, e-commerce/warehouse, and energy also outperformed. </w:t>
      </w:r>
      <w:r>
        <w:rPr>
          <w:rFonts w:ascii="Calibri" w:hAnsi="Calibri"/>
          <w:b/>
          <w:color w:val="525866"/>
          <w:sz w:val="22"/>
        </w:rPr>
        <w:t xml:space="preserve">HON Read-Through: </w:t>
      </w:r>
      <w:r>
        <w:rPr>
          <w:rFonts w:ascii="Calibri" w:hAnsi="Calibri"/>
          <w:color w:val="525866"/>
          <w:sz w:val="22"/>
        </w:rPr>
        <w:t>Positive for HON’s Industrial Automation (sensing/measurement) and Building Automation (data center exposure) segments. Validates HON’s thesis that data center demand is a durable growth driver.</w:t>
      </w:r>
    </w:p>
    <w:p>
      <w:pPr>
        <w:pStyle w:val="ListBullet"/>
        <w:ind w:left="360" w:hanging="360"/>
      </w:pPr>
      <w:r>
        <w:rPr>
          <w:rFonts w:ascii="Calibri" w:hAnsi="Calibri"/>
          <w:b/>
          <w:color w:val="525866"/>
          <w:sz w:val="22"/>
        </w:rPr>
        <w:t xml:space="preserve">Broad-based CapEx recovery not yet visible, but pockets of strength broadening. </w:t>
      </w:r>
      <w:r>
        <w:rPr>
          <w:rFonts w:ascii="Calibri" w:hAnsi="Calibri"/>
          <w:i/>
          <w:color w:val="525866"/>
          <w:sz w:val="22"/>
        </w:rPr>
        <w:t xml:space="preserve">ROK noted it is “not seeing a broad-based CapEx recovery yet” — food &amp; beverage and automotive are showing activity but not large CapEx releases. However, semiconductor, data center, e-commerce, and energy are seeing larger projects. Full-year guide raised to 7% top-line growth. </w:t>
      </w:r>
      <w:r>
        <w:rPr>
          <w:rFonts w:ascii="Calibri" w:hAnsi="Calibri"/>
          <w:b/>
          <w:color w:val="525866"/>
          <w:sz w:val="22"/>
        </w:rPr>
        <w:t xml:space="preserve">HON Read-Through: </w:t>
      </w:r>
      <w:r>
        <w:rPr>
          <w:rFonts w:ascii="Calibri" w:hAnsi="Calibri"/>
          <w:color w:val="525866"/>
          <w:sz w:val="22"/>
        </w:rPr>
        <w:t>Consistent with HON’s IA segment guidance of flat for the year (raised from down low-SD); the short-cycle recovery in Europe and Asia is the key driver, not a broad CapEx rebound.</w:t>
      </w:r>
    </w:p>
    <w:p>
      <w:pPr>
        <w:pStyle w:val="ListBullet"/>
        <w:ind w:left="360" w:hanging="360"/>
      </w:pPr>
      <w:r>
        <w:rPr>
          <w:rFonts w:ascii="Calibri" w:hAnsi="Calibri"/>
          <w:b/>
          <w:color w:val="525866"/>
          <w:sz w:val="22"/>
        </w:rPr>
        <w:t xml:space="preserve">Trade uncertainty and geopolitical volatility holding back larger CapEx decisions. </w:t>
      </w:r>
      <w:r>
        <w:rPr>
          <w:rFonts w:ascii="Calibri" w:hAnsi="Calibri"/>
          <w:i/>
          <w:color w:val="525866"/>
          <w:sz w:val="22"/>
        </w:rPr>
        <w:t xml:space="preserve">ROK management cited “trade uncertainty,” “increasing geopolitical volatility,” “input cost inflation,” and “consumer health” as factors preventing larger CapEx releases. “The environment needs more stability to be able to really feel confident with the bigger, larger CapEx outlays.” </w:t>
      </w:r>
      <w:r>
        <w:rPr>
          <w:rFonts w:ascii="Calibri" w:hAnsi="Calibri"/>
          <w:b/>
          <w:color w:val="525866"/>
          <w:sz w:val="22"/>
        </w:rPr>
        <w:t xml:space="preserve">HON Read-Through: </w:t>
      </w:r>
      <w:r>
        <w:rPr>
          <w:rFonts w:ascii="Calibri" w:hAnsi="Calibri"/>
          <w:color w:val="525866"/>
          <w:sz w:val="22"/>
        </w:rPr>
        <w:t>Consistent with HON’s cautious tone on broad IA recovery; validates the “flat for the year” IA guidance rather than a V-shaped recovery.</w:t>
      </w:r>
    </w:p>
    <w:p>
      <w:pPr>
        <w:pStyle w:val="ListBullet"/>
        <w:ind w:left="360" w:hanging="360"/>
      </w:pPr>
      <w:r>
        <w:rPr>
          <w:rFonts w:ascii="Calibri" w:hAnsi="Calibri"/>
          <w:b/>
          <w:color w:val="525866"/>
          <w:sz w:val="22"/>
        </w:rPr>
        <w:t xml:space="preserve">Middle East exposure very limited; recovery is a longer-cycle story (FY 2027+). </w:t>
      </w:r>
      <w:r>
        <w:rPr>
          <w:rFonts w:ascii="Calibri" w:hAnsi="Calibri"/>
          <w:i/>
          <w:color w:val="525866"/>
          <w:sz w:val="22"/>
        </w:rPr>
        <w:t xml:space="preserve">ROK noted its Middle East exposure is “very limited” and has become “even smaller” following the dissolution of a joint venture. Any recovery/rebuilding opportunity is “more of a longer cycle business” with impact most likely in FY 2027 and beyond. </w:t>
      </w:r>
      <w:r>
        <w:rPr>
          <w:rFonts w:ascii="Calibri" w:hAnsi="Calibri"/>
          <w:b/>
          <w:color w:val="525866"/>
          <w:sz w:val="22"/>
        </w:rPr>
        <w:t xml:space="preserve">HON Read-Through: </w:t>
      </w:r>
      <w:r>
        <w:rPr>
          <w:rFonts w:ascii="Calibri" w:hAnsi="Calibri"/>
          <w:color w:val="525866"/>
          <w:sz w:val="22"/>
        </w:rPr>
        <w:t>Contrasts with HON’s PA&amp;T, which has more direct Middle East exposure (high-margin aftermarket services and catalyst shipments). HON’s faster recovery timeline (H2 2026) reflects its different business mix and the reconstruction orders already beginning.</w:t>
      </w:r>
    </w:p>
    <w:p>
      <w:pPr>
        <w:pStyle w:val="ListBullet"/>
        <w:ind w:left="360" w:hanging="360"/>
      </w:pPr>
      <w:r>
        <w:rPr>
          <w:rFonts w:ascii="Calibri" w:hAnsi="Calibri"/>
          <w:b/>
          <w:color w:val="525866"/>
          <w:sz w:val="22"/>
        </w:rPr>
        <w:t xml:space="preserve">Pricing: 250 bps guided for FY 2026 (150 bps underlying + 100 bps tariff-related). </w:t>
      </w:r>
      <w:r>
        <w:rPr>
          <w:rFonts w:ascii="Calibri" w:hAnsi="Calibri"/>
          <w:i/>
          <w:color w:val="525866"/>
          <w:sz w:val="22"/>
        </w:rPr>
        <w:t xml:space="preserve">ROK is guiding to 250 bps of price realization for the year, with 150 bps from underlying price and 100 bps from tariff-related pricing. Memory chip cost inflation is the biggest input cost headwind. Management expressed confidence in offsetting cost increases over time. </w:t>
      </w:r>
      <w:r>
        <w:rPr>
          <w:rFonts w:ascii="Calibri" w:hAnsi="Calibri"/>
          <w:b/>
          <w:color w:val="525866"/>
          <w:sz w:val="22"/>
        </w:rPr>
        <w:t xml:space="preserve">HON Read-Through: </w:t>
      </w:r>
      <w:r>
        <w:rPr>
          <w:rFonts w:ascii="Calibri" w:hAnsi="Calibri"/>
          <w:color w:val="525866"/>
          <w:sz w:val="22"/>
        </w:rPr>
        <w:t>HON’s pricing is running at ~4% in Q2 (above ROK’s 250 bps), reflecting HON’s stronger pricing power in mission-critical automation. Validates HON’s pricing discipline as a margin driver.</w:t>
      </w:r>
    </w:p>
    <w:p>
      <w:pPr>
        <w:pStyle w:val="ListBullet"/>
        <w:ind w:left="360" w:hanging="360"/>
      </w:pPr>
      <w:r>
        <w:rPr>
          <w:rFonts w:ascii="Calibri" w:hAnsi="Calibri"/>
          <w:b/>
          <w:color w:val="525866"/>
          <w:sz w:val="22"/>
        </w:rPr>
        <w:t xml:space="preserve">Software ARR growing high single digits; recurring services decelerating near-term. </w:t>
      </w:r>
      <w:r>
        <w:rPr>
          <w:rFonts w:ascii="Calibri" w:hAnsi="Calibri"/>
          <w:i/>
          <w:color w:val="525866"/>
          <w:sz w:val="22"/>
        </w:rPr>
        <w:t xml:space="preserve">ROK’s ARR is ~10% of revenue, with recurring software growing high single digits (SaaS-driven) but recurring services decelerating as customers “reprioritize spend near term” due to trade uncertainty. Full-year ARR growth expected at high single digits. </w:t>
      </w:r>
      <w:r>
        <w:rPr>
          <w:rFonts w:ascii="Calibri" w:hAnsi="Calibri"/>
          <w:b/>
          <w:color w:val="525866"/>
          <w:sz w:val="22"/>
        </w:rPr>
        <w:t xml:space="preserve">HON Read-Through: </w:t>
      </w:r>
      <w:r>
        <w:rPr>
          <w:rFonts w:ascii="Calibri" w:hAnsi="Calibri"/>
          <w:color w:val="525866"/>
          <w:sz w:val="22"/>
        </w:rPr>
        <w:t>HON’s software ARR of ~$1B growing ~15% (per Investor Day) is outpacing ROK’s ARR growth, validating HON’s installed base monetization strategy and Forge platform traction.</w:t>
      </w:r>
    </w:p>
    <w:p>
      <w:pPr>
        <w:pStyle w:val="Heading3"/>
      </w:pPr>
      <w:r>
        <w:rPr>
          <w:rFonts w:ascii="Calibri" w:hAnsi="Calibri"/>
          <w:b/>
          <w:color w:val="3B4259"/>
          <w:sz w:val="24"/>
        </w:rPr>
        <w:t>Carrier Global (CARR) — Wells Fargo Conference (June 9, 2026)</w:t>
      </w:r>
    </w:p>
    <w:p>
      <w:r>
        <w:rPr>
          <w:rFonts w:ascii="Calibri" w:hAnsi="Calibri"/>
          <w:b/>
          <w:color w:val="525866"/>
          <w:sz w:val="22"/>
        </w:rPr>
        <w:t xml:space="preserve">Read-Through Relevance: </w:t>
      </w:r>
      <w:r>
        <w:rPr>
          <w:rFonts w:ascii="Calibri" w:hAnsi="Calibri"/>
          <w:color w:val="525866"/>
          <w:sz w:val="22"/>
        </w:rPr>
        <w:t>Carrier is the most direct peer for HON’s Building Automation segment, with overlapping exposure to commercial HVAC, data centers, and building controls.</w:t>
      </w:r>
    </w:p>
    <w:p>
      <w:pPr>
        <w:pStyle w:val="ListBullet"/>
        <w:ind w:left="360" w:hanging="360"/>
      </w:pPr>
      <w:r>
        <w:rPr>
          <w:rFonts w:ascii="Calibri" w:hAnsi="Calibri"/>
          <w:b/>
          <w:color w:val="525866"/>
          <w:sz w:val="22"/>
        </w:rPr>
        <w:t xml:space="preserve">Q2 2026 on track: $6B sales and $0.80 EPS targets confirmed. </w:t>
      </w:r>
      <w:r>
        <w:rPr>
          <w:rFonts w:ascii="Calibri" w:hAnsi="Calibri"/>
          <w:i/>
          <w:color w:val="525866"/>
          <w:sz w:val="22"/>
        </w:rPr>
        <w:t xml:space="preserve">CARR management stated “all good” for Q2, confirming $6B in sales and $0.80 EPS targets. Residential business is tracking “better than” the previously guided down-15% for Q2. European VCS residential is now expected up mid-single digits (vs. flat prior). </w:t>
      </w:r>
      <w:r>
        <w:rPr>
          <w:rFonts w:ascii="Calibri" w:hAnsi="Calibri"/>
          <w:b/>
          <w:color w:val="525866"/>
          <w:sz w:val="22"/>
        </w:rPr>
        <w:t xml:space="preserve">HON Read-Through: </w:t>
      </w:r>
      <w:r>
        <w:rPr>
          <w:rFonts w:ascii="Calibri" w:hAnsi="Calibri"/>
          <w:color w:val="525866"/>
          <w:sz w:val="22"/>
        </w:rPr>
        <w:t>Positive for HON’s Building Automation segment, which has been delivering 7 consecutive quarters of high-single-digit growth. Validates the constructive building/HVAC demand environment.</w:t>
      </w:r>
    </w:p>
    <w:p>
      <w:pPr>
        <w:pStyle w:val="ListBullet"/>
        <w:ind w:left="360" w:hanging="360"/>
      </w:pPr>
      <w:r>
        <w:rPr>
          <w:rFonts w:ascii="Calibri" w:hAnsi="Calibri"/>
          <w:b/>
          <w:color w:val="525866"/>
          <w:sz w:val="22"/>
        </w:rPr>
        <w:t xml:space="preserve">Data center demand is “phenomenal” — $1.5B target for 2026 fully covered, could exceed. </w:t>
      </w:r>
      <w:r>
        <w:rPr>
          <w:rFonts w:ascii="Calibri" w:hAnsi="Calibri"/>
          <w:i/>
          <w:color w:val="525866"/>
          <w:sz w:val="22"/>
        </w:rPr>
        <w:t xml:space="preserve">CARR is “fully covered for the year” on its $1.5B data center sales target and “could certainly exceed that.” Exit rate implies $2.5B capacity for 2027, and demand exceeds that. CEO stated his thinking on 2027 data center demand is “exponentially higher” vs. two months ago. CapEx increasing from $500M to $600M to support data center capacity. </w:t>
      </w:r>
      <w:r>
        <w:rPr>
          <w:rFonts w:ascii="Calibri" w:hAnsi="Calibri"/>
          <w:b/>
          <w:color w:val="525866"/>
          <w:sz w:val="22"/>
        </w:rPr>
        <w:t xml:space="preserve">HON Read-Through: </w:t>
      </w:r>
      <w:r>
        <w:rPr>
          <w:rFonts w:ascii="Calibri" w:hAnsi="Calibri"/>
          <w:color w:val="525866"/>
          <w:sz w:val="22"/>
        </w:rPr>
        <w:t>Strongly positive for HON’s Building Automation data center exposure. HON’s BA segment is growing share in data centers (particularly Tier 2 providers); CARR’s commentary validates the durability and acceleration of this demand.</w:t>
      </w:r>
    </w:p>
    <w:p>
      <w:pPr>
        <w:pStyle w:val="ListBullet"/>
        <w:ind w:left="360" w:hanging="360"/>
      </w:pPr>
      <w:r>
        <w:rPr>
          <w:rFonts w:ascii="Calibri" w:hAnsi="Calibri"/>
          <w:b/>
          <w:color w:val="525866"/>
          <w:sz w:val="22"/>
        </w:rPr>
        <w:t xml:space="preserve">Commercial HVAC (ex-data center) demand “very strong” across multiple verticals. </w:t>
      </w:r>
      <w:r>
        <w:rPr>
          <w:rFonts w:ascii="Calibri" w:hAnsi="Calibri"/>
          <w:i/>
          <w:color w:val="525866"/>
          <w:sz w:val="22"/>
        </w:rPr>
        <w:t xml:space="preserve">CARR cited “very strong demand” in healthcare, walk-in clinics, hospitals, infrastructure, industrial, and robotics facilities. Commercial HVAC orders expected to be “good” in Q2, focused on H2 2026 and 2027. </w:t>
      </w:r>
      <w:r>
        <w:rPr>
          <w:rFonts w:ascii="Calibri" w:hAnsi="Calibri"/>
          <w:b/>
          <w:color w:val="525866"/>
          <w:sz w:val="22"/>
        </w:rPr>
        <w:t xml:space="preserve">HON Read-Through: </w:t>
      </w:r>
      <w:r>
        <w:rPr>
          <w:rFonts w:ascii="Calibri" w:hAnsi="Calibri"/>
          <w:color w:val="525866"/>
          <w:sz w:val="22"/>
        </w:rPr>
        <w:t>Positive for HON’s Building Automation solutions business; validates the broad-based commercial building demand environment.</w:t>
      </w:r>
    </w:p>
    <w:p>
      <w:pPr>
        <w:pStyle w:val="ListBullet"/>
        <w:ind w:left="360" w:hanging="360"/>
      </w:pPr>
      <w:r>
        <w:rPr>
          <w:rFonts w:ascii="Calibri" w:hAnsi="Calibri"/>
          <w:b/>
          <w:color w:val="525866"/>
          <w:sz w:val="22"/>
        </w:rPr>
        <w:t xml:space="preserve">European heat pump demand inflecting positively. </w:t>
      </w:r>
      <w:r>
        <w:rPr>
          <w:rFonts w:ascii="Calibri" w:hAnsi="Calibri"/>
          <w:i/>
          <w:color w:val="525866"/>
          <w:sz w:val="22"/>
        </w:rPr>
        <w:t xml:space="preserve">CARR noted “order rates for residential heat pumps has been extremely encouraging” in Europe, driven by the electricity-to-gas ratio in Germany dropping to ~2.4–2.5 (below the 3x threshold). The residential business is “poised for a turnaround.” </w:t>
      </w:r>
      <w:r>
        <w:rPr>
          <w:rFonts w:ascii="Calibri" w:hAnsi="Calibri"/>
          <w:b/>
          <w:color w:val="525866"/>
          <w:sz w:val="22"/>
        </w:rPr>
        <w:t xml:space="preserve">HON Read-Through: </w:t>
      </w:r>
      <w:r>
        <w:rPr>
          <w:rFonts w:ascii="Calibri" w:hAnsi="Calibri"/>
          <w:color w:val="525866"/>
          <w:sz w:val="22"/>
        </w:rPr>
        <w:t>Positive for HON’s Building Automation European business; validates HON’s commentary on strength across all regions.</w:t>
      </w:r>
    </w:p>
    <w:p>
      <w:pPr>
        <w:pStyle w:val="ListBullet"/>
        <w:ind w:left="360" w:hanging="360"/>
      </w:pPr>
      <w:r>
        <w:rPr>
          <w:rFonts w:ascii="Calibri" w:hAnsi="Calibri"/>
          <w:b/>
          <w:color w:val="525866"/>
          <w:sz w:val="22"/>
        </w:rPr>
        <w:t xml:space="preserve">Middle East: demand was “great before the war”; recovery expected post-conflict. </w:t>
      </w:r>
      <w:r>
        <w:rPr>
          <w:rFonts w:ascii="Calibri" w:hAnsi="Calibri"/>
          <w:i/>
          <w:color w:val="525866"/>
          <w:sz w:val="22"/>
        </w:rPr>
        <w:t xml:space="preserve">CARR noted Middle East demand “needs to stabilize” and expects recovery “after the war” in places like Saudi Arabia. </w:t>
      </w:r>
      <w:r>
        <w:rPr>
          <w:rFonts w:ascii="Calibri" w:hAnsi="Calibri"/>
          <w:b/>
          <w:color w:val="525866"/>
          <w:sz w:val="22"/>
        </w:rPr>
        <w:t xml:space="preserve">HON Read-Through: </w:t>
      </w:r>
      <w:r>
        <w:rPr>
          <w:rFonts w:ascii="Calibri" w:hAnsi="Calibri"/>
          <w:color w:val="525866"/>
          <w:sz w:val="22"/>
        </w:rPr>
        <w:t>Consistent with HON’s PA&amp;T recovery narrative; CARR’s commentary supports the view that Middle East reconstruction demand will be a tailwind for HON’s process automation businesses in H2 2026 and beyond.</w:t>
      </w:r>
    </w:p>
    <w:p>
      <w:pPr>
        <w:pStyle w:val="ListBullet"/>
        <w:ind w:left="360" w:hanging="360"/>
      </w:pPr>
      <w:r>
        <w:rPr>
          <w:rFonts w:ascii="Calibri" w:hAnsi="Calibri"/>
          <w:b/>
          <w:color w:val="525866"/>
          <w:sz w:val="22"/>
        </w:rPr>
        <w:t xml:space="preserve">Pricing: ~2.5% for full year (150 bps underlying + 100 bps tariff); tariff pricing moderating. </w:t>
      </w:r>
      <w:r>
        <w:rPr>
          <w:rFonts w:ascii="Calibri" w:hAnsi="Calibri"/>
          <w:i/>
          <w:color w:val="525866"/>
          <w:sz w:val="22"/>
        </w:rPr>
        <w:t xml:space="preserve">CARR’s pricing is running at ~2.5% for the year after adjusting for the 232 tariff reduction (from 25% to 15%). Residential pricing moving from high-single-digits to mid-single-digits. </w:t>
      </w:r>
      <w:r>
        <w:rPr>
          <w:rFonts w:ascii="Calibri" w:hAnsi="Calibri"/>
          <w:b/>
          <w:color w:val="525866"/>
          <w:sz w:val="22"/>
        </w:rPr>
        <w:t xml:space="preserve">HON Read-Through: </w:t>
      </w:r>
      <w:r>
        <w:rPr>
          <w:rFonts w:ascii="Calibri" w:hAnsi="Calibri"/>
          <w:color w:val="525866"/>
          <w:sz w:val="22"/>
        </w:rPr>
        <w:t>HON’s ~4% pricing in Q2 is significantly above CARR’s, reflecting HON’s mission-critical positioning and stronger pricing power in building automation controls vs. HVAC equipment.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insiders since Q1 earnings. All transactions are </w:t>
      </w:r>
      <w:r>
        <w:rPr>
          <w:rFonts w:ascii="Calibri" w:hAnsi="Calibri"/>
          <w:b/>
          <w:color w:val="525866"/>
          <w:sz w:val="22"/>
        </w:rPr>
        <w:t>routine equity award activity</w:t>
      </w:r>
      <w:r>
        <w:rPr>
          <w:rFonts w:ascii="Calibri" w:hAnsi="Calibri"/>
          <w:color w:val="525866"/>
          <w:sz w:val="22"/>
        </w:rPr>
        <w:t xml:space="preserve"> (RSU vesting, option grants, tax withholding dispositions) associated with the spin-off compensation restructuring on June 29 and annual director RSU grants on May 22. </w:t>
      </w:r>
      <w:r>
        <w:rPr>
          <w:rFonts w:ascii="Calibri" w:hAnsi="Calibri"/>
          <w:b/>
          <w:color w:val="525866"/>
          <w:sz w:val="22"/>
        </w:rPr>
        <w:t>The absence of discretionary selling is a mild positive signal</w:t>
      </w:r>
      <w:r>
        <w:rPr>
          <w:rFonts w:ascii="Calibri" w:hAnsi="Calibri"/>
          <w:color w:val="525866"/>
          <w:sz w:val="22"/>
        </w:rPr>
        <w:t xml:space="preserve"> heading into the first RemainCo earnings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Kapur Vimal</w:t>
            </w:r>
          </w:p>
        </w:tc>
        <w:tc>
          <w:tcPr>
            <w:tcW w:type="dxa" w:w="1440"/>
          </w:tcPr>
          <w:p>
            <w:r>
              <w:rPr>
                <w:rFonts w:ascii="Calibri" w:hAnsi="Calibri"/>
                <w:sz w:val="22"/>
              </w:rPr>
              <w:t>CEO &amp; Director</w:t>
            </w:r>
          </w:p>
        </w:tc>
        <w:tc>
          <w:tcPr>
            <w:tcW w:type="dxa" w:w="1440"/>
          </w:tcPr>
          <w:p>
            <w:r>
              <w:rPr>
                <w:rFonts w:ascii="Calibri" w:hAnsi="Calibri"/>
                <w:sz w:val="22"/>
              </w:rPr>
              <w:t>RSU Vesting (M) + Tax Withholding (F)</w:t>
            </w:r>
          </w:p>
        </w:tc>
        <w:tc>
          <w:tcPr>
            <w:tcW w:type="dxa" w:w="1440"/>
          </w:tcPr>
          <w:p>
            <w:r>
              <w:rPr>
                <w:rFonts w:ascii="Calibri" w:hAnsi="Calibri"/>
                <w:sz w:val="22"/>
              </w:rPr>
              <w:t>3,090 vested; 1,343 withheld for tax</w:t>
            </w:r>
          </w:p>
        </w:tc>
        <w:tc>
          <w:tcPr>
            <w:tcW w:type="dxa" w:w="1440"/>
          </w:tcPr>
          <w:p>
            <w:r>
              <w:rPr>
                <w:rFonts w:ascii="Calibri" w:hAnsi="Calibri"/>
                <w:sz w:val="22"/>
              </w:rPr>
              <w:t>Jul 16, 2026</w:t>
            </w:r>
          </w:p>
        </w:tc>
        <w:tc>
          <w:tcPr>
            <w:tcW w:type="dxa" w:w="1440"/>
          </w:tcPr>
          <w:p>
            <w:r>
              <w:rPr>
                <w:rFonts w:ascii="Calibri" w:hAnsi="Calibri"/>
                <w:sz w:val="22"/>
              </w:rPr>
              <w:t>Routine RSU vest; tax withholding disposition (not discretionary sale). Retains 2,037 shares post-transaction.</w:t>
            </w:r>
          </w:p>
        </w:tc>
      </w:tr>
      <w:tr>
        <w:tc>
          <w:tcPr>
            <w:tcW w:type="dxa" w:w="1440"/>
          </w:tcPr>
          <w:p>
            <w:r>
              <w:rPr>
                <w:rFonts w:ascii="Calibri" w:hAnsi="Calibri"/>
                <w:sz w:val="22"/>
              </w:rPr>
              <w:t>Stepniak Michal</w:t>
            </w:r>
          </w:p>
        </w:tc>
        <w:tc>
          <w:tcPr>
            <w:tcW w:type="dxa" w:w="1440"/>
          </w:tcPr>
          <w:p>
            <w:r>
              <w:rPr>
                <w:rFonts w:ascii="Calibri" w:hAnsi="Calibri"/>
                <w:sz w:val="22"/>
              </w:rPr>
              <w:t>SVP &amp; CFO</w:t>
            </w:r>
          </w:p>
        </w:tc>
        <w:tc>
          <w:tcPr>
            <w:tcW w:type="dxa" w:w="1440"/>
          </w:tcPr>
          <w:p>
            <w:r>
              <w:rPr>
                <w:rFonts w:ascii="Calibri" w:hAnsi="Calibri"/>
                <w:sz w:val="22"/>
              </w:rPr>
              <w:t>RSU Vesting (M) + Tax Withholding (F)</w:t>
            </w:r>
          </w:p>
        </w:tc>
        <w:tc>
          <w:tcPr>
            <w:tcW w:type="dxa" w:w="1440"/>
          </w:tcPr>
          <w:p>
            <w:r>
              <w:rPr>
                <w:rFonts w:ascii="Calibri" w:hAnsi="Calibri"/>
                <w:sz w:val="22"/>
              </w:rPr>
              <w:t>2,575 vested; 1,124 withheld for tax</w:t>
            </w:r>
          </w:p>
        </w:tc>
        <w:tc>
          <w:tcPr>
            <w:tcW w:type="dxa" w:w="1440"/>
          </w:tcPr>
          <w:p>
            <w:r>
              <w:rPr>
                <w:rFonts w:ascii="Calibri" w:hAnsi="Calibri"/>
                <w:sz w:val="22"/>
              </w:rPr>
              <w:t>Jul 16, 2026</w:t>
            </w:r>
          </w:p>
        </w:tc>
        <w:tc>
          <w:tcPr>
            <w:tcW w:type="dxa" w:w="1440"/>
          </w:tcPr>
          <w:p>
            <w:r>
              <w:rPr>
                <w:rFonts w:ascii="Calibri" w:hAnsi="Calibri"/>
                <w:sz w:val="22"/>
              </w:rPr>
              <w:t>Routine RSU vest; tax withholding disposition. Retains 2,364 shares.</w:t>
            </w:r>
          </w:p>
        </w:tc>
      </w:tr>
      <w:tr>
        <w:tc>
          <w:tcPr>
            <w:tcW w:type="dxa" w:w="1440"/>
          </w:tcPr>
          <w:p>
            <w:r>
              <w:rPr>
                <w:rFonts w:ascii="Calibri" w:hAnsi="Calibri"/>
                <w:sz w:val="22"/>
              </w:rPr>
              <w:t>Lu Su Ping</w:t>
            </w:r>
          </w:p>
        </w:tc>
        <w:tc>
          <w:tcPr>
            <w:tcW w:type="dxa" w:w="1440"/>
          </w:tcPr>
          <w:p>
            <w:r>
              <w:rPr>
                <w:rFonts w:ascii="Calibri" w:hAnsi="Calibri"/>
                <w:sz w:val="22"/>
              </w:rPr>
              <w:t>SVP, General Counsel &amp; Corp. Secretary</w:t>
            </w:r>
          </w:p>
        </w:tc>
        <w:tc>
          <w:tcPr>
            <w:tcW w:type="dxa" w:w="1440"/>
          </w:tcPr>
          <w:p>
            <w:r>
              <w:rPr>
                <w:rFonts w:ascii="Calibri" w:hAnsi="Calibri"/>
                <w:sz w:val="22"/>
              </w:rPr>
              <w:t>RSU Vesting (M) + Tax Withholding (F)</w:t>
            </w:r>
          </w:p>
        </w:tc>
        <w:tc>
          <w:tcPr>
            <w:tcW w:type="dxa" w:w="1440"/>
          </w:tcPr>
          <w:p>
            <w:r>
              <w:rPr>
                <w:rFonts w:ascii="Calibri" w:hAnsi="Calibri"/>
                <w:sz w:val="22"/>
              </w:rPr>
              <w:t>1,958 vested; 854 withheld for tax</w:t>
            </w:r>
          </w:p>
        </w:tc>
        <w:tc>
          <w:tcPr>
            <w:tcW w:type="dxa" w:w="1440"/>
          </w:tcPr>
          <w:p>
            <w:r>
              <w:rPr>
                <w:rFonts w:ascii="Calibri" w:hAnsi="Calibri"/>
                <w:sz w:val="22"/>
              </w:rPr>
              <w:t>Jul 16, 2026</w:t>
            </w:r>
          </w:p>
        </w:tc>
        <w:tc>
          <w:tcPr>
            <w:tcW w:type="dxa" w:w="1440"/>
          </w:tcPr>
          <w:p>
            <w:r>
              <w:rPr>
                <w:rFonts w:ascii="Calibri" w:hAnsi="Calibri"/>
                <w:sz w:val="22"/>
              </w:rPr>
              <w:t>Routine RSU vest; tax withholding disposition. Retains 5,060 shares.</w:t>
            </w:r>
          </w:p>
        </w:tc>
      </w:tr>
      <w:tr>
        <w:tc>
          <w:tcPr>
            <w:tcW w:type="dxa" w:w="1440"/>
          </w:tcPr>
          <w:p>
            <w:r>
              <w:rPr>
                <w:rFonts w:ascii="Calibri" w:hAnsi="Calibri"/>
                <w:sz w:val="22"/>
              </w:rPr>
              <w:t>Masso James</w:t>
            </w:r>
          </w:p>
        </w:tc>
        <w:tc>
          <w:tcPr>
            <w:tcW w:type="dxa" w:w="1440"/>
          </w:tcPr>
          <w:p>
            <w:r>
              <w:rPr>
                <w:rFonts w:ascii="Calibri" w:hAnsi="Calibri"/>
                <w:sz w:val="22"/>
              </w:rPr>
              <w:t>President/CEO, Process Automation</w:t>
            </w:r>
          </w:p>
        </w:tc>
        <w:tc>
          <w:tcPr>
            <w:tcW w:type="dxa" w:w="1440"/>
          </w:tcPr>
          <w:p>
            <w:r>
              <w:rPr>
                <w:rFonts w:ascii="Calibri" w:hAnsi="Calibri"/>
                <w:sz w:val="22"/>
              </w:rPr>
              <w:t>RSU Vesting (M) + Tax Withholding (F)</w:t>
            </w:r>
          </w:p>
        </w:tc>
        <w:tc>
          <w:tcPr>
            <w:tcW w:type="dxa" w:w="1440"/>
          </w:tcPr>
          <w:p>
            <w:r>
              <w:rPr>
                <w:rFonts w:ascii="Calibri" w:hAnsi="Calibri"/>
                <w:sz w:val="22"/>
              </w:rPr>
              <w:t>1,879 vested; 620 withheld for tax</w:t>
            </w:r>
          </w:p>
        </w:tc>
        <w:tc>
          <w:tcPr>
            <w:tcW w:type="dxa" w:w="1440"/>
          </w:tcPr>
          <w:p>
            <w:r>
              <w:rPr>
                <w:rFonts w:ascii="Calibri" w:hAnsi="Calibri"/>
                <w:sz w:val="22"/>
              </w:rPr>
              <w:t>Jul 16, 2026</w:t>
            </w:r>
          </w:p>
        </w:tc>
        <w:tc>
          <w:tcPr>
            <w:tcW w:type="dxa" w:w="1440"/>
          </w:tcPr>
          <w:p>
            <w:r>
              <w:rPr>
                <w:rFonts w:ascii="Calibri" w:hAnsi="Calibri"/>
                <w:sz w:val="22"/>
              </w:rPr>
              <w:t>Routine RSU vest; tax withholding disposition. Retains 1,259 shares.</w:t>
            </w:r>
          </w:p>
        </w:tc>
      </w:tr>
      <w:tr>
        <w:tc>
          <w:tcPr>
            <w:tcW w:type="dxa" w:w="1440"/>
          </w:tcPr>
          <w:p>
            <w:r>
              <w:rPr>
                <w:rFonts w:ascii="Calibri" w:hAnsi="Calibri"/>
                <w:sz w:val="22"/>
              </w:rPr>
              <w:t>Hammoud Billal</w:t>
            </w:r>
          </w:p>
        </w:tc>
        <w:tc>
          <w:tcPr>
            <w:tcW w:type="dxa" w:w="1440"/>
          </w:tcPr>
          <w:p>
            <w:r>
              <w:rPr>
                <w:rFonts w:ascii="Calibri" w:hAnsi="Calibri"/>
                <w:sz w:val="22"/>
              </w:rPr>
              <w:t>President/CEO, Building Automation</w:t>
            </w:r>
          </w:p>
        </w:tc>
        <w:tc>
          <w:tcPr>
            <w:tcW w:type="dxa" w:w="1440"/>
          </w:tcPr>
          <w:p>
            <w:r>
              <w:rPr>
                <w:rFonts w:ascii="Calibri" w:hAnsi="Calibri"/>
                <w:sz w:val="22"/>
              </w:rPr>
              <w:t>RSU Vesting (M) + Tax Withholding (F)</w:t>
            </w:r>
          </w:p>
        </w:tc>
        <w:tc>
          <w:tcPr>
            <w:tcW w:type="dxa" w:w="1440"/>
          </w:tcPr>
          <w:p>
            <w:r>
              <w:rPr>
                <w:rFonts w:ascii="Calibri" w:hAnsi="Calibri"/>
                <w:sz w:val="22"/>
              </w:rPr>
              <w:t>1,030 vested; 465 withheld for tax</w:t>
            </w:r>
          </w:p>
        </w:tc>
        <w:tc>
          <w:tcPr>
            <w:tcW w:type="dxa" w:w="1440"/>
          </w:tcPr>
          <w:p>
            <w:r>
              <w:rPr>
                <w:rFonts w:ascii="Calibri" w:hAnsi="Calibri"/>
                <w:sz w:val="22"/>
              </w:rPr>
              <w:t>Jul 16, 2026</w:t>
            </w:r>
          </w:p>
        </w:tc>
        <w:tc>
          <w:tcPr>
            <w:tcW w:type="dxa" w:w="1440"/>
          </w:tcPr>
          <w:p>
            <w:r>
              <w:rPr>
                <w:rFonts w:ascii="Calibri" w:hAnsi="Calibri"/>
                <w:sz w:val="22"/>
              </w:rPr>
              <w:t>Routine RSU vest; tax withholding disposition. Retains 3,383 shares.</w:t>
            </w:r>
          </w:p>
        </w:tc>
      </w:tr>
      <w:tr>
        <w:tc>
          <w:tcPr>
            <w:tcW w:type="dxa" w:w="1440"/>
          </w:tcPr>
          <w:p>
            <w:r>
              <w:rPr>
                <w:rFonts w:ascii="Calibri" w:hAnsi="Calibri"/>
                <w:sz w:val="22"/>
              </w:rPr>
              <w:t>West Kenneth J</w:t>
            </w:r>
          </w:p>
        </w:tc>
        <w:tc>
          <w:tcPr>
            <w:tcW w:type="dxa" w:w="1440"/>
          </w:tcPr>
          <w:p>
            <w:r>
              <w:rPr>
                <w:rFonts w:ascii="Calibri" w:hAnsi="Calibri"/>
                <w:sz w:val="22"/>
              </w:rPr>
              <w:t>President/CEO, Process Technologies</w:t>
            </w:r>
          </w:p>
        </w:tc>
        <w:tc>
          <w:tcPr>
            <w:tcW w:type="dxa" w:w="1440"/>
          </w:tcPr>
          <w:p>
            <w:r>
              <w:rPr>
                <w:rFonts w:ascii="Calibri" w:hAnsi="Calibri"/>
                <w:sz w:val="22"/>
              </w:rPr>
              <w:t>RSU Vesting (M) + Tax Withholding (F)</w:t>
            </w:r>
          </w:p>
        </w:tc>
        <w:tc>
          <w:tcPr>
            <w:tcW w:type="dxa" w:w="1440"/>
          </w:tcPr>
          <w:p>
            <w:r>
              <w:rPr>
                <w:rFonts w:ascii="Calibri" w:hAnsi="Calibri"/>
                <w:sz w:val="22"/>
              </w:rPr>
              <w:t>1,030 vested; 549 withheld for tax</w:t>
            </w:r>
          </w:p>
        </w:tc>
        <w:tc>
          <w:tcPr>
            <w:tcW w:type="dxa" w:w="1440"/>
          </w:tcPr>
          <w:p>
            <w:r>
              <w:rPr>
                <w:rFonts w:ascii="Calibri" w:hAnsi="Calibri"/>
                <w:sz w:val="22"/>
              </w:rPr>
              <w:t>Jul 16, 2026</w:t>
            </w:r>
          </w:p>
        </w:tc>
        <w:tc>
          <w:tcPr>
            <w:tcW w:type="dxa" w:w="1440"/>
          </w:tcPr>
          <w:p>
            <w:r>
              <w:rPr>
                <w:rFonts w:ascii="Calibri" w:hAnsi="Calibri"/>
                <w:sz w:val="22"/>
              </w:rPr>
              <w:t>Routine RSU vest; tax withholding disposition. Retains 2,132 shares.</w:t>
            </w:r>
          </w:p>
        </w:tc>
      </w:tr>
      <w:tr>
        <w:tc>
          <w:tcPr>
            <w:tcW w:type="dxa" w:w="1440"/>
          </w:tcPr>
          <w:p>
            <w:r>
              <w:rPr>
                <w:rFonts w:ascii="Calibri" w:hAnsi="Calibri"/>
                <w:sz w:val="22"/>
              </w:rPr>
              <w:t>Kapur Vimal</w:t>
            </w:r>
          </w:p>
        </w:tc>
        <w:tc>
          <w:tcPr>
            <w:tcW w:type="dxa" w:w="1440"/>
          </w:tcPr>
          <w:p>
            <w:r>
              <w:rPr>
                <w:rFonts w:ascii="Calibri" w:hAnsi="Calibri"/>
                <w:sz w:val="22"/>
              </w:rPr>
              <w:t>CEO &amp; Director</w:t>
            </w:r>
          </w:p>
        </w:tc>
        <w:tc>
          <w:tcPr>
            <w:tcW w:type="dxa" w:w="1440"/>
          </w:tcPr>
          <w:p>
            <w:r>
              <w:rPr>
                <w:rFonts w:ascii="Calibri" w:hAnsi="Calibri"/>
                <w:sz w:val="22"/>
              </w:rPr>
              <w:t>Annual Equity Grant (A) — RSUs + Options</w:t>
            </w:r>
          </w:p>
        </w:tc>
        <w:tc>
          <w:tcPr>
            <w:tcW w:type="dxa" w:w="1440"/>
          </w:tcPr>
          <w:p>
            <w:r>
              <w:rPr>
                <w:rFonts w:ascii="Calibri" w:hAnsi="Calibri"/>
                <w:sz w:val="22"/>
              </w:rPr>
              <w:t>22,917 RSUs + 42,964 options granted</w:t>
            </w:r>
          </w:p>
        </w:tc>
        <w:tc>
          <w:tcPr>
            <w:tcW w:type="dxa" w:w="1440"/>
          </w:tcPr>
          <w:p>
            <w:r>
              <w:rPr>
                <w:rFonts w:ascii="Calibri" w:hAnsi="Calibri"/>
                <w:sz w:val="22"/>
              </w:rPr>
              <w:t>Jun 29, 2026</w:t>
            </w:r>
          </w:p>
        </w:tc>
        <w:tc>
          <w:tcPr>
            <w:tcW w:type="dxa" w:w="1440"/>
          </w:tcPr>
          <w:p>
            <w:r>
              <w:rPr>
                <w:rFonts w:ascii="Calibri" w:hAnsi="Calibri"/>
                <w:sz w:val="22"/>
              </w:rPr>
              <w:t>Annual equity award on spin-off date; standard compensation grant for RemainCo leadership team.</w:t>
            </w:r>
          </w:p>
        </w:tc>
      </w:tr>
      <w:tr>
        <w:tc>
          <w:tcPr>
            <w:tcW w:type="dxa" w:w="1440"/>
          </w:tcPr>
          <w:p>
            <w:r>
              <w:rPr>
                <w:rFonts w:ascii="Calibri" w:hAnsi="Calibri"/>
                <w:sz w:val="22"/>
              </w:rPr>
              <w:t>Stepniak Michal</w:t>
            </w:r>
          </w:p>
        </w:tc>
        <w:tc>
          <w:tcPr>
            <w:tcW w:type="dxa" w:w="1440"/>
          </w:tcPr>
          <w:p>
            <w:r>
              <w:rPr>
                <w:rFonts w:ascii="Calibri" w:hAnsi="Calibri"/>
                <w:sz w:val="22"/>
              </w:rPr>
              <w:t>SVP &amp; CFO</w:t>
            </w:r>
          </w:p>
        </w:tc>
        <w:tc>
          <w:tcPr>
            <w:tcW w:type="dxa" w:w="1440"/>
          </w:tcPr>
          <w:p>
            <w:r>
              <w:rPr>
                <w:rFonts w:ascii="Calibri" w:hAnsi="Calibri"/>
                <w:sz w:val="22"/>
              </w:rPr>
              <w:t>Annual Equity Grant (A) — RSUs + Options</w:t>
            </w:r>
          </w:p>
        </w:tc>
        <w:tc>
          <w:tcPr>
            <w:tcW w:type="dxa" w:w="1440"/>
          </w:tcPr>
          <w:p>
            <w:r>
              <w:rPr>
                <w:rFonts w:ascii="Calibri" w:hAnsi="Calibri"/>
                <w:sz w:val="22"/>
              </w:rPr>
              <w:t>4,987 RSUs + 35,803 options granted</w:t>
            </w:r>
          </w:p>
        </w:tc>
        <w:tc>
          <w:tcPr>
            <w:tcW w:type="dxa" w:w="1440"/>
          </w:tcPr>
          <w:p>
            <w:r>
              <w:rPr>
                <w:rFonts w:ascii="Calibri" w:hAnsi="Calibri"/>
                <w:sz w:val="22"/>
              </w:rPr>
              <w:t>Jun 29, 2026</w:t>
            </w:r>
          </w:p>
        </w:tc>
        <w:tc>
          <w:tcPr>
            <w:tcW w:type="dxa" w:w="1440"/>
          </w:tcPr>
          <w:p>
            <w:r>
              <w:rPr>
                <w:rFonts w:ascii="Calibri" w:hAnsi="Calibri"/>
                <w:sz w:val="22"/>
              </w:rPr>
              <w:t>Annual equity award on spin-off date; standard compensation grant.</w:t>
            </w:r>
          </w:p>
        </w:tc>
      </w:tr>
      <w:tr>
        <w:tc>
          <w:tcPr>
            <w:tcW w:type="dxa" w:w="1440"/>
          </w:tcPr>
          <w:p>
            <w:r>
              <w:rPr>
                <w:rFonts w:ascii="Calibri" w:hAnsi="Calibri"/>
                <w:sz w:val="22"/>
              </w:rPr>
              <w:t>Hammoud Billal</w:t>
            </w:r>
          </w:p>
        </w:tc>
        <w:tc>
          <w:tcPr>
            <w:tcW w:type="dxa" w:w="1440"/>
          </w:tcPr>
          <w:p>
            <w:r>
              <w:rPr>
                <w:rFonts w:ascii="Calibri" w:hAnsi="Calibri"/>
                <w:sz w:val="22"/>
              </w:rPr>
              <w:t>President/CEO, Building Automation</w:t>
            </w:r>
          </w:p>
        </w:tc>
        <w:tc>
          <w:tcPr>
            <w:tcW w:type="dxa" w:w="1440"/>
          </w:tcPr>
          <w:p>
            <w:r>
              <w:rPr>
                <w:rFonts w:ascii="Calibri" w:hAnsi="Calibri"/>
                <w:sz w:val="22"/>
              </w:rPr>
              <w:t>Annual Equity Grant (A) — RSUs + Options</w:t>
            </w:r>
          </w:p>
        </w:tc>
        <w:tc>
          <w:tcPr>
            <w:tcW w:type="dxa" w:w="1440"/>
          </w:tcPr>
          <w:p>
            <w:r>
              <w:rPr>
                <w:rFonts w:ascii="Calibri" w:hAnsi="Calibri"/>
                <w:sz w:val="22"/>
              </w:rPr>
              <w:t>3,971 RSUs + 14,321 options granted</w:t>
            </w:r>
          </w:p>
        </w:tc>
        <w:tc>
          <w:tcPr>
            <w:tcW w:type="dxa" w:w="1440"/>
          </w:tcPr>
          <w:p>
            <w:r>
              <w:rPr>
                <w:rFonts w:ascii="Calibri" w:hAnsi="Calibri"/>
                <w:sz w:val="22"/>
              </w:rPr>
              <w:t>Jun 29, 2026</w:t>
            </w:r>
          </w:p>
        </w:tc>
        <w:tc>
          <w:tcPr>
            <w:tcW w:type="dxa" w:w="1440"/>
          </w:tcPr>
          <w:p>
            <w:r>
              <w:rPr>
                <w:rFonts w:ascii="Calibri" w:hAnsi="Calibri"/>
                <w:sz w:val="22"/>
              </w:rPr>
              <w:t>Annual equity award on spin-off date; standard compensation grant.</w:t>
            </w:r>
          </w:p>
        </w:tc>
      </w:tr>
      <w:tr>
        <w:tc>
          <w:tcPr>
            <w:tcW w:type="dxa" w:w="1440"/>
          </w:tcPr>
          <w:p>
            <w:r>
              <w:rPr>
                <w:rFonts w:ascii="Calibri" w:hAnsi="Calibri"/>
                <w:sz w:val="22"/>
              </w:rPr>
              <w:t>Kapur Vimal</w:t>
            </w:r>
          </w:p>
        </w:tc>
        <w:tc>
          <w:tcPr>
            <w:tcW w:type="dxa" w:w="1440"/>
          </w:tcPr>
          <w:p>
            <w:r>
              <w:rPr>
                <w:rFonts w:ascii="Calibri" w:hAnsi="Calibri"/>
                <w:sz w:val="22"/>
              </w:rPr>
              <w:t>CEO &amp; Director</w:t>
            </w:r>
          </w:p>
        </w:tc>
        <w:tc>
          <w:tcPr>
            <w:tcW w:type="dxa" w:w="1440"/>
          </w:tcPr>
          <w:p>
            <w:r>
              <w:rPr>
                <w:rFonts w:ascii="Calibri" w:hAnsi="Calibri"/>
                <w:sz w:val="22"/>
              </w:rPr>
              <w:t>Tax Withholding Disposition (F)</w:t>
            </w:r>
          </w:p>
        </w:tc>
        <w:tc>
          <w:tcPr>
            <w:tcW w:type="dxa" w:w="1440"/>
          </w:tcPr>
          <w:p>
            <w:r>
              <w:rPr>
                <w:rFonts w:ascii="Calibri" w:hAnsi="Calibri"/>
                <w:sz w:val="22"/>
              </w:rPr>
              <w:t>868 shares withheld</w:t>
            </w:r>
          </w:p>
        </w:tc>
        <w:tc>
          <w:tcPr>
            <w:tcW w:type="dxa" w:w="1440"/>
          </w:tcPr>
          <w:p>
            <w:r>
              <w:rPr>
                <w:rFonts w:ascii="Calibri" w:hAnsi="Calibri"/>
                <w:sz w:val="22"/>
              </w:rPr>
              <w:t>Jun 1, 2026</w:t>
            </w:r>
          </w:p>
        </w:tc>
        <w:tc>
          <w:tcPr>
            <w:tcW w:type="dxa" w:w="1440"/>
          </w:tcPr>
          <w:p>
            <w:r>
              <w:rPr>
                <w:rFonts w:ascii="Calibri" w:hAnsi="Calibri"/>
                <w:sz w:val="22"/>
              </w:rPr>
              <w:t>Tax withholding on RSU vest; not a discretionary sale. Retains 12,318 shares (pre-split basis).</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Annual Director RSU Grant (A)</w:t>
            </w:r>
          </w:p>
        </w:tc>
        <w:tc>
          <w:tcPr>
            <w:tcW w:type="dxa" w:w="1440"/>
          </w:tcPr>
          <w:p>
            <w:r>
              <w:rPr>
                <w:rFonts w:ascii="Calibri" w:hAnsi="Calibri"/>
                <w:sz w:val="22"/>
              </w:rPr>
              <w:t>576 RSUs each (9 directors)</w:t>
            </w:r>
          </w:p>
        </w:tc>
        <w:tc>
          <w:tcPr>
            <w:tcW w:type="dxa" w:w="1440"/>
          </w:tcPr>
          <w:p>
            <w:r>
              <w:rPr>
                <w:rFonts w:ascii="Calibri" w:hAnsi="Calibri"/>
                <w:sz w:val="22"/>
              </w:rPr>
              <w:t>May 22, 2026</w:t>
            </w:r>
          </w:p>
        </w:tc>
        <w:tc>
          <w:tcPr>
            <w:tcW w:type="dxa" w:w="1440"/>
          </w:tcPr>
          <w:p>
            <w:r>
              <w:rPr>
                <w:rFonts w:ascii="Calibri" w:hAnsi="Calibri"/>
                <w:sz w:val="22"/>
              </w:rPr>
              <w:t>Annual director equity compensation; routine. Directors include Angove, Arnold, Ayer, Davis, Flint, LaMach, Lieblein, Nooyi, Steinberg, Watson, Williamson.</w:t>
            </w:r>
          </w:p>
        </w:tc>
      </w:tr>
    </w:tbl>
    <w:p>
      <w:r>
        <w:rPr>
          <w:rFonts w:ascii="Calibri" w:hAnsi="Calibri"/>
          <w:b/>
          <w:color w:val="525866"/>
          <w:sz w:val="22"/>
        </w:rPr>
        <w:t xml:space="preserve">Summary: </w:t>
      </w:r>
      <w:r>
        <w:rPr>
          <w:rFonts w:ascii="Calibri" w:hAnsi="Calibri"/>
          <w:color w:val="525866"/>
          <w:sz w:val="22"/>
        </w:rPr>
        <w:t xml:space="preserve">All insider transactions since Q1 earnings are routine equity award activity — RSU vesting with associated tax withholding dispositions (Form 4 code F, which is an obligation-driven disposition, not a discretionary sale), annual equity grants on the spin-off date (June 29), and annual director RSU grants (May 22). There are </w:t>
      </w:r>
      <w:r>
        <w:rPr>
          <w:rFonts w:ascii="Calibri" w:hAnsi="Calibri"/>
          <w:b/>
          <w:color w:val="525866"/>
          <w:sz w:val="22"/>
        </w:rPr>
        <w:t>zero open-market buys (code P) or discretionary open-market sales (code S)</w:t>
      </w:r>
      <w:r>
        <w:rPr>
          <w:rFonts w:ascii="Calibri" w:hAnsi="Calibri"/>
          <w:color w:val="525866"/>
          <w:sz w:val="22"/>
        </w:rPr>
        <w:t xml:space="preserve"> in the period. The large equity grants to the CEO and CFO on June 29 (the spin-off date) reflect the establishment of the RemainCo compensation framework and are a standard post-spin action. The absence of any discretionary selling ahead of the first RemainCo earnings print is a mild positive signal.</w:t>
      </w:r>
    </w:p>
    <w:p>
      <w:r>
        <w:rPr>
          <w:rFonts w:ascii="Calibri" w:hAnsi="Calibr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