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Honeywell Technologies (HON) — Q2 2026 Earnings Preview</w:t>
      </w:r>
    </w:p>
    <w:p>
      <w:r>
        <w:rPr>
          <w:rFonts w:ascii="Calibri" w:hAnsi="Calibri"/>
          <w:b/>
          <w:color w:val="525866"/>
          <w:sz w:val="22"/>
        </w:rPr>
        <w:t xml:space="preserve">Ticker: </w:t>
      </w:r>
      <w:r>
        <w:rPr>
          <w:rFonts w:ascii="Calibri" w:hAnsi="Calibri"/>
          <w:color w:val="525866"/>
          <w:sz w:val="22"/>
        </w:rPr>
        <w:t xml:space="preserve">HON  </w:t>
      </w:r>
      <w:r>
        <w:rPr>
          <w:rFonts w:ascii="Calibri" w:hAnsi="Calibri"/>
          <w:b/>
          <w:color w:val="525866"/>
          <w:sz w:val="22"/>
        </w:rPr>
        <w:t xml:space="preserve">Earnings Date: </w:t>
      </w:r>
      <w:r>
        <w:rPr>
          <w:rFonts w:ascii="Calibri" w:hAnsi="Calibri"/>
          <w:color w:val="525866"/>
          <w:sz w:val="22"/>
        </w:rPr>
        <w:t xml:space="preserve">July 23, 2026  </w:t>
      </w:r>
      <w:r>
        <w:rPr>
          <w:rFonts w:ascii="Calibri" w:hAnsi="Calibri"/>
          <w:b/>
          <w:color w:val="525866"/>
          <w:sz w:val="22"/>
        </w:rPr>
        <w:t xml:space="preserve">Prepared: </w:t>
      </w:r>
      <w:r>
        <w:rPr>
          <w:rFonts w:ascii="Calibri" w:hAnsi="Calibri"/>
          <w:color w:val="525866"/>
          <w:sz w:val="22"/>
        </w:rPr>
        <w:t xml:space="preserve">July 22, 2026  </w:t>
      </w:r>
      <w:r>
        <w:rPr>
          <w:rFonts w:ascii="Calibri" w:hAnsi="Calibri"/>
          <w:b/>
          <w:color w:val="525866"/>
          <w:sz w:val="22"/>
        </w:rPr>
        <w:t xml:space="preserve">Reporting Period: </w:t>
      </w:r>
      <w:r>
        <w:rPr>
          <w:rFonts w:ascii="Calibri" w:hAnsi="Calibri"/>
          <w:color w:val="525866"/>
          <w:sz w:val="22"/>
        </w:rPr>
        <w:t>Q2 2026 (quarter ended June 30,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HON's first print as a pure-play automation company is </w:t>
      </w:r>
      <w:r>
        <w:rPr>
          <w:rFonts w:ascii="Calibri" w:hAnsi="Calibri"/>
          <w:b/>
          <w:color w:val="525866"/>
          <w:sz w:val="22"/>
        </w:rPr>
        <w:t>cautiously constructive</w:t>
      </w:r>
      <w:r>
        <w:rPr>
          <w:rFonts w:ascii="Calibri" w:hAnsi="Calibri"/>
          <w:color w:val="525866"/>
          <w:sz w:val="22"/>
        </w:rPr>
        <w:t xml:space="preserve"> — consensus EPS of ~$2.32 (post-split) sits below the Q2 guidance midpoint of $2.40 on a normalized basis, the Middle East headwind is tracking well below the low end of the guided range, and Building Automation momentum has been uninterrupted; the </w:t>
      </w:r>
      <w:r>
        <w:rPr>
          <w:rFonts w:ascii="Calibri" w:hAnsi="Calibri"/>
          <w:b/>
          <w:color w:val="525866"/>
          <w:sz w:val="22"/>
        </w:rPr>
        <w:t>single biggest swing factor is whether PA&amp;T backlog conversion accelerates as management signaled</w:t>
      </w:r>
      <w:r>
        <w:rPr>
          <w:rFonts w:ascii="Calibri" w:hAnsi="Calibri"/>
          <w:color w:val="525866"/>
          <w:sz w:val="22"/>
        </w:rPr>
        <w:t>.</w:t>
      </w:r>
    </w:p>
    <w:p>
      <w:r>
        <w:rPr>
          <w:rFonts w:ascii="Calibri" w:hAnsi="Calibri"/>
          <w:color w:val="525866"/>
          <w:sz w:val="22"/>
        </w:rPr>
        <w:t xml:space="preserve">The bar heading into Q2 is </w:t>
      </w:r>
      <w:r>
        <w:rPr>
          <w:rFonts w:ascii="Calibri" w:hAnsi="Calibri"/>
          <w:b/>
          <w:color w:val="525866"/>
          <w:sz w:val="22"/>
        </w:rPr>
        <w:t>manageable</w:t>
      </w:r>
      <w:r>
        <w:rPr>
          <w:rFonts w:ascii="Calibri" w:hAnsi="Calibri"/>
          <w:color w:val="525866"/>
          <w:sz w:val="22"/>
        </w:rPr>
        <w:t xml:space="preserve">: consensus EPS of ~$2.32 (post-split adjusted) is below the $2.40 guided midpoint, and the ~$0.16 tax-rate headwind that depressed the Q2 guide is well-understood by the Street, meaning the underlying operational bar is even lower than the headline implies. Management's June 8 Guidance Update Call confirmed that through May, </w:t>
      </w:r>
      <w:r>
        <w:rPr>
          <w:rFonts w:ascii="Calibri" w:hAnsi="Calibri"/>
          <w:b/>
          <w:color w:val="525866"/>
          <w:sz w:val="22"/>
        </w:rPr>
        <w:t>demand remained strong across Building and Process Technology</w:t>
      </w:r>
      <w:r>
        <w:rPr>
          <w:rFonts w:ascii="Calibri" w:hAnsi="Calibri"/>
          <w:color w:val="525866"/>
          <w:sz w:val="22"/>
        </w:rPr>
        <w:t xml:space="preserve">, short-cycle recovery in Industrial Automation continued, and segment margin was tracking in line with guidance — all of which points to a clean operational quarter. The </w:t>
      </w:r>
      <w:r>
        <w:rPr>
          <w:rFonts w:ascii="Calibri" w:hAnsi="Calibri"/>
          <w:b/>
          <w:color w:val="525866"/>
          <w:sz w:val="22"/>
        </w:rPr>
        <w:t>Middle East revenue headwind in PA&amp;T is now expected at only $50–75M</w:t>
      </w:r>
      <w:r>
        <w:rPr>
          <w:rFonts w:ascii="Calibri" w:hAnsi="Calibri"/>
          <w:color w:val="525866"/>
          <w:sz w:val="22"/>
        </w:rPr>
        <w:t xml:space="preserve">, well below the ~1% of revenue (~$95M) embedded in Q2 guidance, providing a meaningful cushion. Estimate revisions have been modestly negative since the Q1 print (consensus EPS drifted from ~$2.38 to ~$2.32 post-split), reflecting the tax headwind and portfolio complexity around the June 29 Aerospace spin, but the underlying operational trajectory has not deteriorated. The stock has declined sharply (~49%) since the Q1 print, almost entirely driven by the Aerospace spin-off (shares adjusted for the 1-for-2 reverse stock split effective June 29), so the RemainCo multiple is not stretched. The </w:t>
      </w:r>
      <w:r>
        <w:rPr>
          <w:rFonts w:ascii="Calibri" w:hAnsi="Calibri"/>
          <w:b/>
          <w:color w:val="525866"/>
          <w:sz w:val="22"/>
        </w:rPr>
        <w:t>key wildcard</w:t>
      </w:r>
      <w:r>
        <w:rPr>
          <w:rFonts w:ascii="Calibri" w:hAnsi="Calibri"/>
          <w:color w:val="525866"/>
          <w:sz w:val="22"/>
        </w:rPr>
        <w:t xml:space="preserve"> is the pace of PA&amp;T backlog conversion in the second half — management guided to high single-digit organic growth in H2 for that segment, and any early evidence of catalyst shipment acceleration or project revenue recognition would be a meaningful positive surprise.</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w:t>
      </w:r>
      <w:r>
        <w:rPr>
          <w:rFonts w:ascii="Calibri" w:hAnsi="Calibri"/>
          <w:b/>
          <w:color w:val="525866"/>
          <w:sz w:val="22"/>
        </w:rPr>
        <w:t>low bar on EPS</w:t>
      </w:r>
      <w:r>
        <w:rPr>
          <w:rFonts w:ascii="Calibri" w:hAnsi="Calibri"/>
          <w:color w:val="525866"/>
          <w:sz w:val="22"/>
        </w:rPr>
        <w:t xml:space="preserve"> given the well-flagged ~$0.16 tax headwind; </w:t>
      </w:r>
      <w:r>
        <w:rPr>
          <w:rFonts w:ascii="Calibri" w:hAnsi="Calibri"/>
          <w:b/>
          <w:color w:val="525866"/>
          <w:sz w:val="22"/>
        </w:rPr>
        <w:t>organic revenue growth is the bigger swing factor</w:t>
      </w:r>
      <w:r>
        <w:rPr>
          <w:rFonts w:ascii="Calibri" w:hAnsi="Calibri"/>
          <w:color w:val="525866"/>
          <w:sz w:val="22"/>
        </w:rPr>
        <w:t>, with PA&amp;T backlog conversion the key variable. Segment margin is the metric most likely to surprise positively given stranded cost removal tracking ahead of plan.</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(Est. vs. PY)</w:t>
            </w:r>
          </w:p>
        </w:tc>
        <w:tc>
          <w:tcPr>
            <w:tcW w:type="dxa" w:w="1234"/>
            <w:shd w:val="clear" w:color="auto" w:fill="3B4259"/>
          </w:tcPr>
          <w:p>
            <w:r>
              <w:rPr>
                <w:rFonts w:ascii="Calibri" w:hAnsi="Calibri"/>
                <w:b/>
                <w:color w:val="FFFFFF"/>
                <w:sz w:val="22"/>
              </w:rPr>
              <w:t>Q2 2026 Guidance (Mgmt)</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Net Sales (Incl. Aerospace, $B)</w:t>
            </w:r>
          </w:p>
        </w:tc>
        <w:tc>
          <w:tcPr>
            <w:tcW w:type="dxa" w:w="1234"/>
          </w:tcPr>
          <w:p>
            <w:r>
              <w:rPr>
                <w:rFonts w:ascii="Calibri" w:hAnsi="Calibri"/>
                <w:sz w:val="22"/>
              </w:rPr>
              <w:t>$9.145B</w:t>
            </w:r>
          </w:p>
        </w:tc>
        <w:tc>
          <w:tcPr>
            <w:tcW w:type="dxa" w:w="1234"/>
          </w:tcPr>
          <w:p>
            <w:r>
              <w:rPr>
                <w:rFonts w:ascii="Calibri" w:hAnsi="Calibri"/>
                <w:sz w:val="22"/>
              </w:rPr>
              <w:t>$9.325B</w:t>
            </w:r>
          </w:p>
        </w:tc>
        <w:tc>
          <w:tcPr>
            <w:tcW w:type="dxa" w:w="1234"/>
          </w:tcPr>
          <w:p>
            <w:r>
              <w:rPr>
                <w:rFonts w:ascii="Calibri" w:hAnsi="Calibri"/>
                <w:sz w:val="22"/>
              </w:rPr>
              <w:t>$9.581B</w:t>
            </w:r>
          </w:p>
        </w:tc>
        <w:tc>
          <w:tcPr>
            <w:tcW w:type="dxa" w:w="1234"/>
          </w:tcPr>
          <w:p>
            <w:r>
              <w:rPr>
                <w:rFonts w:ascii="Calibri" w:hAnsi="Calibri"/>
                <w:sz w:val="22"/>
              </w:rPr>
              <w:t>+2.7%</w:t>
            </w:r>
          </w:p>
        </w:tc>
        <w:tc>
          <w:tcPr>
            <w:tcW w:type="dxa" w:w="1234"/>
          </w:tcPr>
          <w:p>
            <w:r>
              <w:rPr>
                <w:rFonts w:ascii="Calibri" w:hAnsi="Calibri"/>
                <w:sz w:val="22"/>
              </w:rPr>
              <w:t>Organic growth 2%–4%</w:t>
            </w:r>
          </w:p>
        </w:tc>
        <w:tc>
          <w:tcPr>
            <w:tcW w:type="dxa" w:w="1234"/>
          </w:tcPr>
          <w:p>
            <w:r>
              <w:rPr>
                <w:rFonts w:ascii="Calibri" w:hAnsi="Calibri"/>
                <w:sz w:val="22"/>
              </w:rPr>
              <w:t>~+0.4% vs. midpoint</w:t>
            </w:r>
          </w:p>
        </w:tc>
      </w:tr>
      <w:tr>
        <w:tc>
          <w:tcPr>
            <w:tcW w:type="dxa" w:w="1234"/>
          </w:tcPr>
          <w:p>
            <w:r>
              <w:rPr>
                <w:rFonts w:ascii="Calibri" w:hAnsi="Calibri"/>
                <w:sz w:val="22"/>
              </w:rPr>
              <w:t>Adj. EPS — Diluted Operating (Incl. Aero, post-split)</w:t>
            </w:r>
          </w:p>
        </w:tc>
        <w:tc>
          <w:tcPr>
            <w:tcW w:type="dxa" w:w="1234"/>
          </w:tcPr>
          <w:p>
            <w:r>
              <w:rPr>
                <w:rFonts w:ascii="Calibri" w:hAnsi="Calibri"/>
                <w:sz w:val="22"/>
              </w:rPr>
              <w:t>$4.90 (pre-split $2.45)</w:t>
            </w:r>
          </w:p>
        </w:tc>
        <w:tc>
          <w:tcPr>
            <w:tcW w:type="dxa" w:w="1234"/>
          </w:tcPr>
          <w:p>
            <w:r>
              <w:rPr>
                <w:rFonts w:ascii="Calibri" w:hAnsi="Calibri"/>
                <w:sz w:val="22"/>
              </w:rPr>
              <w:t>$5.50 (pre-split)</w:t>
            </w:r>
          </w:p>
        </w:tc>
        <w:tc>
          <w:tcPr>
            <w:tcW w:type="dxa" w:w="1234"/>
          </w:tcPr>
          <w:p>
            <w:r>
              <w:rPr>
                <w:rFonts w:ascii="Calibri" w:hAnsi="Calibri"/>
                <w:sz w:val="22"/>
              </w:rPr>
              <w:t>$4.918 (post-split ~$2.32 RemainCo basis)</w:t>
            </w:r>
          </w:p>
        </w:tc>
        <w:tc>
          <w:tcPr>
            <w:tcW w:type="dxa" w:w="1234"/>
          </w:tcPr>
          <w:p>
            <w:r>
              <w:rPr>
                <w:rFonts w:ascii="Calibri" w:hAnsi="Calibri"/>
                <w:sz w:val="22"/>
              </w:rPr>
              <w:t>−10.6% (tax headwind)</w:t>
            </w:r>
          </w:p>
        </w:tc>
        <w:tc>
          <w:tcPr>
            <w:tcW w:type="dxa" w:w="1234"/>
          </w:tcPr>
          <w:p>
            <w:r>
              <w:rPr>
                <w:rFonts w:ascii="Calibri" w:hAnsi="Calibri"/>
                <w:sz w:val="22"/>
              </w:rPr>
              <w:t>$2.40 midpoint (normalized ~$2.55)</w:t>
            </w:r>
          </w:p>
        </w:tc>
        <w:tc>
          <w:tcPr>
            <w:tcW w:type="dxa" w:w="1234"/>
          </w:tcPr>
          <w:p>
            <w:r>
              <w:rPr>
                <w:rFonts w:ascii="Calibri" w:hAnsi="Calibri"/>
                <w:sz w:val="22"/>
              </w:rPr>
              <w:t>−3.4% vs. $2.40 midpoint</w:t>
            </w:r>
          </w:p>
        </w:tc>
      </w:tr>
      <w:tr>
        <w:tc>
          <w:tcPr>
            <w:tcW w:type="dxa" w:w="1234"/>
          </w:tcPr>
          <w:p>
            <w:r>
              <w:rPr>
                <w:rFonts w:ascii="Calibri" w:hAnsi="Calibri"/>
                <w:sz w:val="22"/>
              </w:rPr>
              <w:t>Organic Growth % (Incl. Aero)</w:t>
            </w:r>
          </w:p>
        </w:tc>
        <w:tc>
          <w:tcPr>
            <w:tcW w:type="dxa" w:w="1234"/>
          </w:tcPr>
          <w:p>
            <w:r>
              <w:rPr>
                <w:rFonts w:ascii="Calibri" w:hAnsi="Calibri"/>
                <w:sz w:val="22"/>
              </w:rPr>
              <w:t>2.0%</w:t>
            </w:r>
          </w:p>
        </w:tc>
        <w:tc>
          <w:tcPr>
            <w:tcW w:type="dxa" w:w="1234"/>
          </w:tcPr>
          <w:p>
            <w:r>
              <w:rPr>
                <w:rFonts w:ascii="Calibri" w:hAnsi="Calibri"/>
                <w:sz w:val="22"/>
              </w:rPr>
              <w:t>5.0%</w:t>
            </w:r>
          </w:p>
        </w:tc>
        <w:tc>
          <w:tcPr>
            <w:tcW w:type="dxa" w:w="1234"/>
          </w:tcPr>
          <w:p>
            <w:r>
              <w:rPr>
                <w:rFonts w:ascii="Calibri" w:hAnsi="Calibri"/>
                <w:sz w:val="22"/>
              </w:rPr>
              <w:t>~3.0%</w:t>
            </w:r>
          </w:p>
        </w:tc>
        <w:tc>
          <w:tcPr>
            <w:tcW w:type="dxa" w:w="1234"/>
          </w:tcPr>
          <w:p>
            <w:r>
              <w:rPr>
                <w:rFonts w:ascii="Calibri" w:hAnsi="Calibri"/>
                <w:sz w:val="22"/>
              </w:rPr>
              <w:t>−2.0 pts</w:t>
            </w:r>
          </w:p>
        </w:tc>
        <w:tc>
          <w:tcPr>
            <w:tcW w:type="dxa" w:w="1234"/>
          </w:tcPr>
          <w:p>
            <w:r>
              <w:rPr>
                <w:rFonts w:ascii="Calibri" w:hAnsi="Calibri"/>
                <w:sz w:val="22"/>
              </w:rPr>
              <w:t>2%–4% (midpoint 3%)</w:t>
            </w:r>
          </w:p>
        </w:tc>
        <w:tc>
          <w:tcPr>
            <w:tcW w:type="dxa" w:w="1234"/>
          </w:tcPr>
          <w:p>
            <w:r>
              <w:rPr>
                <w:rFonts w:ascii="Calibri" w:hAnsi="Calibri"/>
                <w:sz w:val="22"/>
              </w:rPr>
              <w:t>At midpoint</w:t>
            </w:r>
          </w:p>
        </w:tc>
      </w:tr>
      <w:tr>
        <w:tc>
          <w:tcPr>
            <w:tcW w:type="dxa" w:w="1234"/>
          </w:tcPr>
          <w:p>
            <w:r>
              <w:rPr>
                <w:rFonts w:ascii="Calibri" w:hAnsi="Calibri"/>
                <w:sz w:val="22"/>
              </w:rPr>
              <w:t>Segment Operating Margin %</w:t>
            </w:r>
          </w:p>
        </w:tc>
        <w:tc>
          <w:tcPr>
            <w:tcW w:type="dxa" w:w="1234"/>
          </w:tcPr>
          <w:p>
            <w:r>
              <w:rPr>
                <w:rFonts w:ascii="Calibri" w:hAnsi="Calibri"/>
                <w:sz w:val="22"/>
              </w:rPr>
              <w:t>23.3% (actual; +90 bps YoY)</w:t>
            </w:r>
          </w:p>
        </w:tc>
        <w:tc>
          <w:tcPr>
            <w:tcW w:type="dxa" w:w="1234"/>
          </w:tcPr>
          <w:p>
            <w:r>
              <w:rPr>
                <w:rFonts w:ascii="Calibri" w:hAnsi="Calibri"/>
                <w:sz w:val="22"/>
              </w:rPr>
              <w:t>~22.2% (implied)</w:t>
            </w:r>
          </w:p>
        </w:tc>
        <w:tc>
          <w:tcPr>
            <w:tcW w:type="dxa" w:w="1234"/>
          </w:tcPr>
          <w:p>
            <w:r>
              <w:rPr>
                <w:rFonts w:ascii="Calibri" w:hAnsi="Calibri"/>
                <w:sz w:val="22"/>
              </w:rPr>
              <w:t>~19.0% (RemainCo basis)</w:t>
            </w:r>
          </w:p>
        </w:tc>
        <w:tc>
          <w:tcPr>
            <w:tcW w:type="dxa" w:w="1234"/>
          </w:tcPr>
          <w:p>
            <w:r>
              <w:rPr>
                <w:rFonts w:ascii="Calibri" w:hAnsi="Calibri"/>
                <w:sz w:val="22"/>
              </w:rPr>
              <w:t>N/A — basis change (Aero spin)</w:t>
            </w:r>
          </w:p>
        </w:tc>
        <w:tc>
          <w:tcPr>
            <w:tcW w:type="dxa" w:w="1234"/>
          </w:tcPr>
          <w:p>
            <w:r>
              <w:rPr>
                <w:rFonts w:ascii="Calibri" w:hAnsi="Calibri"/>
                <w:sz w:val="22"/>
              </w:rPr>
              <w:t>22.2%–22.5% (Incl. Aero basis)</w:t>
            </w:r>
          </w:p>
        </w:tc>
        <w:tc>
          <w:tcPr>
            <w:tcW w:type="dxa" w:w="1234"/>
          </w:tcPr>
          <w:p>
            <w:r>
              <w:rPr>
                <w:rFonts w:ascii="Calibri" w:hAnsi="Calibri"/>
                <w:sz w:val="22"/>
              </w:rPr>
              <w:t>~At midpoint</w:t>
            </w:r>
          </w:p>
        </w:tc>
      </w:tr>
      <w:tr>
        <w:tc>
          <w:tcPr>
            <w:tcW w:type="dxa" w:w="1234"/>
          </w:tcPr>
          <w:p>
            <w:r>
              <w:rPr>
                <w:rFonts w:ascii="Calibri" w:hAnsi="Calibri"/>
                <w:sz w:val="22"/>
              </w:rPr>
              <w:t>Free Cash Flow ($B)</w:t>
            </w:r>
          </w:p>
        </w:tc>
        <w:tc>
          <w:tcPr>
            <w:tcW w:type="dxa" w:w="1234"/>
          </w:tcPr>
          <w:p>
            <w:r>
              <w:rPr>
                <w:rFonts w:ascii="Calibri" w:hAnsi="Calibri"/>
                <w:sz w:val="22"/>
              </w:rPr>
              <w:t>$0.056B (Q1 typically weak)</w:t>
            </w:r>
          </w:p>
        </w:tc>
        <w:tc>
          <w:tcPr>
            <w:tcW w:type="dxa" w:w="1234"/>
          </w:tcPr>
          <w:p>
            <w:r>
              <w:rPr>
                <w:rFonts w:ascii="Calibri" w:hAnsi="Calibri"/>
                <w:sz w:val="22"/>
              </w:rPr>
              <w:t>$1.016B</w:t>
            </w:r>
          </w:p>
        </w:tc>
        <w:tc>
          <w:tcPr>
            <w:tcW w:type="dxa" w:w="1234"/>
          </w:tcPr>
          <w:p>
            <w:r>
              <w:rPr>
                <w:rFonts w:ascii="Calibri" w:hAnsi="Calibri"/>
                <w:sz w:val="22"/>
              </w:rPr>
              <w:t>$0.668B</w:t>
            </w:r>
          </w:p>
        </w:tc>
        <w:tc>
          <w:tcPr>
            <w:tcW w:type="dxa" w:w="1234"/>
          </w:tcPr>
          <w:p>
            <w:r>
              <w:rPr>
                <w:rFonts w:ascii="Calibri" w:hAnsi="Calibri"/>
                <w:sz w:val="22"/>
              </w:rPr>
              <w:t>−34.2%</w:t>
            </w:r>
          </w:p>
        </w:tc>
        <w:tc>
          <w:tcPr>
            <w:tcW w:type="dxa" w:w="1234"/>
          </w:tcPr>
          <w:p>
            <w:r>
              <w:rPr>
                <w:rFonts w:ascii="Calibri" w:hAnsi="Calibri"/>
                <w:sz w:val="22"/>
              </w:rPr>
              <w:t>~$2.0B FY (H2 weighted)</w:t>
            </w:r>
          </w:p>
        </w:tc>
        <w:tc>
          <w:tcPr>
            <w:tcW w:type="dxa" w:w="1234"/>
          </w:tcPr>
          <w:p>
            <w:r>
              <w:rPr>
                <w:rFonts w:ascii="Calibri" w:hAnsi="Calibri"/>
                <w:sz w:val="22"/>
              </w:rPr>
              <w:t>N/A — FY guidance only</w:t>
            </w:r>
          </w:p>
        </w:tc>
      </w:tr>
    </w:tbl>
    <w:p>
      <w:r>
        <w:rPr>
          <w:rFonts w:ascii="Calibri" w:hAnsi="Calibri"/>
          <w:i/>
          <w:color w:val="525866"/>
          <w:sz w:val="22"/>
        </w:rPr>
        <w:t>Source: Visible Alpha Consensus and Actuals Data; HON Q1 2026 Earnings Release; HON June 8, 2026 Guidance Update Call. Note: EPS figures reflect the 1-for-2 reverse stock split effective June 29, 2026. Q2 2026 consensus and guidance are on the combined (Incl. Aerospace) basis for the portion of the quarter prior to the June 29 spin; RemainCo-only guidance was introduced at the June 8 call. Segment margin consensus shown on RemainCo basis per June 8 guidance framework.</w:t>
      </w:r>
    </w:p>
    <w:p>
      <w:pPr>
        <w:pStyle w:val="Heading3"/>
      </w:pPr>
      <w:r>
        <w:rPr>
          <w:rFonts w:ascii="Calibri" w:hAnsi="Calibri"/>
          <w:b/>
          <w:color w:val="3B4259"/>
          <w:sz w:val="24"/>
        </w:rPr>
        <w:t>Table 2 — Beat/Miss History: Last 8 Quarters (Top 2 KPIs: Adj. EPS &amp; Organic Revenue Growth)</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Adj. EPS (pre-split)</w:t>
            </w:r>
          </w:p>
        </w:tc>
        <w:tc>
          <w:tcPr>
            <w:tcW w:type="dxa" w:w="1440"/>
          </w:tcPr>
          <w:p>
            <w:r>
              <w:rPr>
                <w:rFonts w:ascii="Calibri" w:hAnsi="Calibri"/>
                <w:sz w:val="22"/>
              </w:rPr>
              <w:t>$2.45</w:t>
            </w:r>
          </w:p>
        </w:tc>
        <w:tc>
          <w:tcPr>
            <w:tcW w:type="dxa" w:w="1440"/>
          </w:tcPr>
          <w:p>
            <w:r>
              <w:rPr>
                <w:rFonts w:ascii="Calibri" w:hAnsi="Calibri"/>
                <w:sz w:val="22"/>
              </w:rPr>
              <w:t>$2.31</w:t>
            </w:r>
          </w:p>
        </w:tc>
        <w:tc>
          <w:tcPr>
            <w:tcW w:type="dxa" w:w="1440"/>
          </w:tcPr>
          <w:p>
            <w:r>
              <w:rPr>
                <w:rFonts w:ascii="Calibri" w:hAnsi="Calibri"/>
                <w:b/>
                <w:color w:val="30A46C"/>
                <w:sz w:val="22"/>
              </w:rPr>
              <w:t>+6.1%</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Organic Growth</w:t>
            </w:r>
          </w:p>
        </w:tc>
        <w:tc>
          <w:tcPr>
            <w:tcW w:type="dxa" w:w="1440"/>
          </w:tcPr>
          <w:p>
            <w:r>
              <w:rPr>
                <w:rFonts w:ascii="Calibri" w:hAnsi="Calibri"/>
                <w:sz w:val="22"/>
              </w:rPr>
              <w:t>2.0%</w:t>
            </w:r>
          </w:p>
        </w:tc>
        <w:tc>
          <w:tcPr>
            <w:tcW w:type="dxa" w:w="1440"/>
          </w:tcPr>
          <w:p>
            <w:r>
              <w:rPr>
                <w:rFonts w:ascii="Calibri" w:hAnsi="Calibri"/>
                <w:sz w:val="22"/>
              </w:rPr>
              <w:t>4.3%</w:t>
            </w:r>
          </w:p>
        </w:tc>
        <w:tc>
          <w:tcPr>
            <w:tcW w:type="dxa" w:w="1440"/>
          </w:tcPr>
          <w:p>
            <w:r>
              <w:rPr>
                <w:rFonts w:ascii="Calibri" w:hAnsi="Calibri"/>
                <w:b/>
                <w:color w:val="E5484D"/>
                <w:sz w:val="22"/>
              </w:rPr>
              <w:t>−2.3 pts</w:t>
            </w:r>
          </w:p>
        </w:tc>
        <w:tc>
          <w:tcPr>
            <w:tcW w:type="dxa" w:w="1440"/>
          </w:tcPr>
          <w:p>
            <w:r>
              <w:rPr>
                <w:rFonts w:ascii="Calibri" w:hAnsi="Calibri"/>
                <w:sz w:val="22"/>
              </w:rPr>
              <w:t>Miss</w:t>
            </w:r>
          </w:p>
        </w:tc>
      </w:tr>
      <w:tr>
        <w:tc>
          <w:tcPr>
            <w:tcW w:type="dxa" w:w="1440"/>
          </w:tcPr>
          <w:p>
            <w:r>
              <w:rPr>
                <w:rFonts w:ascii="Calibri" w:hAnsi="Calibri"/>
                <w:sz w:val="22"/>
              </w:rPr>
              <w:t>Q4 2025</w:t>
            </w:r>
          </w:p>
        </w:tc>
        <w:tc>
          <w:tcPr>
            <w:tcW w:type="dxa" w:w="1440"/>
          </w:tcPr>
          <w:p>
            <w:r>
              <w:rPr>
                <w:rFonts w:ascii="Calibri" w:hAnsi="Calibri"/>
                <w:sz w:val="22"/>
              </w:rPr>
              <w:t>Adj. EPS (pre-split)</w:t>
            </w:r>
          </w:p>
        </w:tc>
        <w:tc>
          <w:tcPr>
            <w:tcW w:type="dxa" w:w="1440"/>
          </w:tcPr>
          <w:p>
            <w:r>
              <w:rPr>
                <w:rFonts w:ascii="Calibri" w:hAnsi="Calibri"/>
                <w:sz w:val="22"/>
              </w:rPr>
              <w:t>$5.18</w:t>
            </w:r>
          </w:p>
        </w:tc>
        <w:tc>
          <w:tcPr>
            <w:tcW w:type="dxa" w:w="1440"/>
          </w:tcPr>
          <w:p>
            <w:r>
              <w:rPr>
                <w:rFonts w:ascii="Calibri" w:hAnsi="Calibri"/>
                <w:sz w:val="22"/>
              </w:rPr>
              <w:t>$4.99</w:t>
            </w:r>
          </w:p>
        </w:tc>
        <w:tc>
          <w:tcPr>
            <w:tcW w:type="dxa" w:w="1440"/>
          </w:tcPr>
          <w:p>
            <w:r>
              <w:rPr>
                <w:rFonts w:ascii="Calibri" w:hAnsi="Calibri"/>
                <w:b/>
                <w:color w:val="30A46C"/>
                <w:sz w:val="22"/>
              </w:rPr>
              <w:t>+3.8%</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Organic Growth</w:t>
            </w:r>
          </w:p>
        </w:tc>
        <w:tc>
          <w:tcPr>
            <w:tcW w:type="dxa" w:w="1440"/>
          </w:tcPr>
          <w:p>
            <w:r>
              <w:rPr>
                <w:rFonts w:ascii="Calibri" w:hAnsi="Calibri"/>
                <w:sz w:val="22"/>
              </w:rPr>
              <w:t>8.2%</w:t>
            </w:r>
          </w:p>
        </w:tc>
        <w:tc>
          <w:tcPr>
            <w:tcW w:type="dxa" w:w="1440"/>
          </w:tcPr>
          <w:p>
            <w:r>
              <w:rPr>
                <w:rFonts w:ascii="Calibri" w:hAnsi="Calibri"/>
                <w:sz w:val="22"/>
              </w:rPr>
              <w:t>9.3%</w:t>
            </w:r>
          </w:p>
        </w:tc>
        <w:tc>
          <w:tcPr>
            <w:tcW w:type="dxa" w:w="1440"/>
          </w:tcPr>
          <w:p>
            <w:r>
              <w:rPr>
                <w:rFonts w:ascii="Calibri" w:hAnsi="Calibri"/>
                <w:b/>
                <w:color w:val="E5484D"/>
                <w:sz w:val="22"/>
              </w:rPr>
              <w:t>−1.1 pts</w:t>
            </w:r>
          </w:p>
        </w:tc>
        <w:tc>
          <w:tcPr>
            <w:tcW w:type="dxa" w:w="1440"/>
          </w:tcPr>
          <w:p>
            <w:r>
              <w:rPr>
                <w:rFonts w:ascii="Calibri" w:hAnsi="Calibri"/>
                <w:sz w:val="22"/>
              </w:rPr>
              <w:t>Miss</w:t>
            </w:r>
          </w:p>
        </w:tc>
      </w:tr>
      <w:tr>
        <w:tc>
          <w:tcPr>
            <w:tcW w:type="dxa" w:w="1440"/>
          </w:tcPr>
          <w:p>
            <w:r>
              <w:rPr>
                <w:rFonts w:ascii="Calibri" w:hAnsi="Calibri"/>
                <w:sz w:val="22"/>
              </w:rPr>
              <w:t>Q3 2025</w:t>
            </w:r>
          </w:p>
        </w:tc>
        <w:tc>
          <w:tcPr>
            <w:tcW w:type="dxa" w:w="1440"/>
          </w:tcPr>
          <w:p>
            <w:r>
              <w:rPr>
                <w:rFonts w:ascii="Calibri" w:hAnsi="Calibri"/>
                <w:sz w:val="22"/>
              </w:rPr>
              <w:t>Adj. EPS (pre-split)</w:t>
            </w:r>
          </w:p>
        </w:tc>
        <w:tc>
          <w:tcPr>
            <w:tcW w:type="dxa" w:w="1440"/>
          </w:tcPr>
          <w:p>
            <w:r>
              <w:rPr>
                <w:rFonts w:ascii="Calibri" w:hAnsi="Calibri"/>
                <w:sz w:val="22"/>
              </w:rPr>
              <w:t>$5.64</w:t>
            </w:r>
          </w:p>
        </w:tc>
        <w:tc>
          <w:tcPr>
            <w:tcW w:type="dxa" w:w="1440"/>
          </w:tcPr>
          <w:p>
            <w:r>
              <w:rPr>
                <w:rFonts w:ascii="Calibri" w:hAnsi="Calibri"/>
                <w:sz w:val="22"/>
              </w:rPr>
              <w:t>$5.08</w:t>
            </w:r>
          </w:p>
        </w:tc>
        <w:tc>
          <w:tcPr>
            <w:tcW w:type="dxa" w:w="1440"/>
          </w:tcPr>
          <w:p>
            <w:r>
              <w:rPr>
                <w:rFonts w:ascii="Calibri" w:hAnsi="Calibri"/>
                <w:b/>
                <w:color w:val="30A46C"/>
                <w:sz w:val="22"/>
              </w:rPr>
              <w:t>+11.0%</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Organic Growth</w:t>
            </w:r>
          </w:p>
        </w:tc>
        <w:tc>
          <w:tcPr>
            <w:tcW w:type="dxa" w:w="1440"/>
          </w:tcPr>
          <w:p>
            <w:r>
              <w:rPr>
                <w:rFonts w:ascii="Calibri" w:hAnsi="Calibri"/>
                <w:sz w:val="22"/>
              </w:rPr>
              <w:t>6.0%</w:t>
            </w:r>
          </w:p>
        </w:tc>
        <w:tc>
          <w:tcPr>
            <w:tcW w:type="dxa" w:w="1440"/>
          </w:tcPr>
          <w:p>
            <w:r>
              <w:rPr>
                <w:rFonts w:ascii="Calibri" w:hAnsi="Calibri"/>
                <w:sz w:val="22"/>
              </w:rPr>
              <w:t>3.2%</w:t>
            </w:r>
          </w:p>
        </w:tc>
        <w:tc>
          <w:tcPr>
            <w:tcW w:type="dxa" w:w="1440"/>
          </w:tcPr>
          <w:p>
            <w:r>
              <w:rPr>
                <w:rFonts w:ascii="Calibri" w:hAnsi="Calibri"/>
                <w:b/>
                <w:color w:val="30A46C"/>
                <w:sz w:val="22"/>
              </w:rPr>
              <w:t>+2.8 pts</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Adj. EPS (pre-split)</w:t>
            </w:r>
          </w:p>
        </w:tc>
        <w:tc>
          <w:tcPr>
            <w:tcW w:type="dxa" w:w="1440"/>
          </w:tcPr>
          <w:p>
            <w:r>
              <w:rPr>
                <w:rFonts w:ascii="Calibri" w:hAnsi="Calibri"/>
                <w:sz w:val="22"/>
              </w:rPr>
              <w:t>$5.50</w:t>
            </w:r>
          </w:p>
        </w:tc>
        <w:tc>
          <w:tcPr>
            <w:tcW w:type="dxa" w:w="1440"/>
          </w:tcPr>
          <w:p>
            <w:r>
              <w:rPr>
                <w:rFonts w:ascii="Calibri" w:hAnsi="Calibri"/>
                <w:sz w:val="22"/>
              </w:rPr>
              <w:t>$5.26</w:t>
            </w:r>
          </w:p>
        </w:tc>
        <w:tc>
          <w:tcPr>
            <w:tcW w:type="dxa" w:w="1440"/>
          </w:tcPr>
          <w:p>
            <w:r>
              <w:rPr>
                <w:rFonts w:ascii="Calibri" w:hAnsi="Calibri"/>
                <w:b/>
                <w:color w:val="30A46C"/>
                <w:sz w:val="22"/>
              </w:rPr>
              <w:t>+4.6%</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Organic Growth</w:t>
            </w:r>
          </w:p>
        </w:tc>
        <w:tc>
          <w:tcPr>
            <w:tcW w:type="dxa" w:w="1440"/>
          </w:tcPr>
          <w:p>
            <w:r>
              <w:rPr>
                <w:rFonts w:ascii="Calibri" w:hAnsi="Calibri"/>
                <w:sz w:val="22"/>
              </w:rPr>
              <w:t>5.0%</w:t>
            </w:r>
          </w:p>
        </w:tc>
        <w:tc>
          <w:tcPr>
            <w:tcW w:type="dxa" w:w="1440"/>
          </w:tcPr>
          <w:p>
            <w:r>
              <w:rPr>
                <w:rFonts w:ascii="Calibri" w:hAnsi="Calibri"/>
                <w:sz w:val="22"/>
              </w:rPr>
              <w:t>2.4%</w:t>
            </w:r>
          </w:p>
        </w:tc>
        <w:tc>
          <w:tcPr>
            <w:tcW w:type="dxa" w:w="1440"/>
          </w:tcPr>
          <w:p>
            <w:r>
              <w:rPr>
                <w:rFonts w:ascii="Calibri" w:hAnsi="Calibri"/>
                <w:b/>
                <w:color w:val="30A46C"/>
                <w:sz w:val="22"/>
              </w:rPr>
              <w:t>+2.6 pts</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Adj. EPS (pre-split)</w:t>
            </w:r>
          </w:p>
        </w:tc>
        <w:tc>
          <w:tcPr>
            <w:tcW w:type="dxa" w:w="1440"/>
          </w:tcPr>
          <w:p>
            <w:r>
              <w:rPr>
                <w:rFonts w:ascii="Calibri" w:hAnsi="Calibri"/>
                <w:sz w:val="22"/>
              </w:rPr>
              <w:t>$4.43</w:t>
            </w:r>
          </w:p>
        </w:tc>
        <w:tc>
          <w:tcPr>
            <w:tcW w:type="dxa" w:w="1440"/>
          </w:tcPr>
          <w:p>
            <w:r>
              <w:rPr>
                <w:rFonts w:ascii="Calibri" w:hAnsi="Calibri"/>
                <w:sz w:val="22"/>
              </w:rPr>
              <w:t>$4.38</w:t>
            </w:r>
          </w:p>
        </w:tc>
        <w:tc>
          <w:tcPr>
            <w:tcW w:type="dxa" w:w="1440"/>
          </w:tcPr>
          <w:p>
            <w:r>
              <w:rPr>
                <w:rFonts w:ascii="Calibri" w:hAnsi="Calibri"/>
                <w:b/>
                <w:color w:val="30A46C"/>
                <w:sz w:val="22"/>
              </w:rPr>
              <w:t>+1.1%</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Organic Growth</w:t>
            </w:r>
          </w:p>
        </w:tc>
        <w:tc>
          <w:tcPr>
            <w:tcW w:type="dxa" w:w="1440"/>
          </w:tcPr>
          <w:p>
            <w:r>
              <w:rPr>
                <w:rFonts w:ascii="Calibri" w:hAnsi="Calibri"/>
                <w:sz w:val="22"/>
              </w:rPr>
              <w:t>5.0%</w:t>
            </w:r>
          </w:p>
        </w:tc>
        <w:tc>
          <w:tcPr>
            <w:tcW w:type="dxa" w:w="1440"/>
          </w:tcPr>
          <w:p>
            <w:r>
              <w:rPr>
                <w:rFonts w:ascii="Calibri" w:hAnsi="Calibri"/>
                <w:sz w:val="22"/>
              </w:rPr>
              <w:t>1.7%</w:t>
            </w:r>
          </w:p>
        </w:tc>
        <w:tc>
          <w:tcPr>
            <w:tcW w:type="dxa" w:w="1440"/>
          </w:tcPr>
          <w:p>
            <w:r>
              <w:rPr>
                <w:rFonts w:ascii="Calibri" w:hAnsi="Calibri"/>
                <w:b/>
                <w:color w:val="30A46C"/>
                <w:sz w:val="22"/>
              </w:rPr>
              <w:t>+3.3 pts</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Adj. EPS (pre-split)</w:t>
            </w:r>
          </w:p>
        </w:tc>
        <w:tc>
          <w:tcPr>
            <w:tcW w:type="dxa" w:w="1440"/>
          </w:tcPr>
          <w:p>
            <w:r>
              <w:rPr>
                <w:rFonts w:ascii="Calibri" w:hAnsi="Calibri"/>
                <w:sz w:val="22"/>
              </w:rPr>
              <w:t>$4.44</w:t>
            </w:r>
          </w:p>
        </w:tc>
        <w:tc>
          <w:tcPr>
            <w:tcW w:type="dxa" w:w="1440"/>
          </w:tcPr>
          <w:p>
            <w:r>
              <w:rPr>
                <w:rFonts w:ascii="Calibri" w:hAnsi="Calibri"/>
                <w:sz w:val="22"/>
              </w:rPr>
              <w:t>$4.66</w:t>
            </w:r>
          </w:p>
        </w:tc>
        <w:tc>
          <w:tcPr>
            <w:tcW w:type="dxa" w:w="1440"/>
          </w:tcPr>
          <w:p>
            <w:r>
              <w:rPr>
                <w:rFonts w:ascii="Calibri" w:hAnsi="Calibri"/>
                <w:b/>
                <w:color w:val="E5484D"/>
                <w:sz w:val="22"/>
              </w:rPr>
              <w:t>−4.7%</w:t>
            </w:r>
          </w:p>
        </w:tc>
        <w:tc>
          <w:tcPr>
            <w:tcW w:type="dxa" w:w="1440"/>
          </w:tcPr>
          <w:p>
            <w:r>
              <w:rPr>
                <w:rFonts w:ascii="Calibri" w:hAnsi="Calibri"/>
                <w:sz w:val="22"/>
              </w:rPr>
              <w:t>Miss</w:t>
            </w:r>
          </w:p>
        </w:tc>
      </w:tr>
      <w:tr>
        <w:tc>
          <w:tcPr>
            <w:tcW w:type="dxa" w:w="1440"/>
          </w:tcPr>
          <w:p>
            <w:r>
              <w:rPr>
                <w:rFonts w:ascii="Calibri" w:hAnsi="Calibri"/>
                <w:sz w:val="22"/>
              </w:rPr>
              <w:t>Q4 2024</w:t>
            </w:r>
          </w:p>
        </w:tc>
        <w:tc>
          <w:tcPr>
            <w:tcW w:type="dxa" w:w="1440"/>
          </w:tcPr>
          <w:p>
            <w:r>
              <w:rPr>
                <w:rFonts w:ascii="Calibri" w:hAnsi="Calibri"/>
                <w:sz w:val="22"/>
              </w:rPr>
              <w:t>Organic Growth</w:t>
            </w:r>
          </w:p>
        </w:tc>
        <w:tc>
          <w:tcPr>
            <w:tcW w:type="dxa" w:w="1440"/>
          </w:tcPr>
          <w:p>
            <w:r>
              <w:rPr>
                <w:rFonts w:ascii="Calibri" w:hAnsi="Calibri"/>
                <w:sz w:val="22"/>
              </w:rPr>
              <w:t>2.0%</w:t>
            </w:r>
          </w:p>
        </w:tc>
        <w:tc>
          <w:tcPr>
            <w:tcW w:type="dxa" w:w="1440"/>
          </w:tcPr>
          <w:p>
            <w:r>
              <w:rPr>
                <w:rFonts w:ascii="Calibri" w:hAnsi="Calibri"/>
                <w:sz w:val="22"/>
              </w:rPr>
              <w:t>−0.1%</w:t>
            </w:r>
          </w:p>
        </w:tc>
        <w:tc>
          <w:tcPr>
            <w:tcW w:type="dxa" w:w="1440"/>
          </w:tcPr>
          <w:p>
            <w:r>
              <w:rPr>
                <w:rFonts w:ascii="Calibri" w:hAnsi="Calibri"/>
                <w:b/>
                <w:color w:val="30A46C"/>
                <w:sz w:val="22"/>
              </w:rPr>
              <w:t>+2.1 pts</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Adj. EPS (pre-split)</w:t>
            </w:r>
          </w:p>
        </w:tc>
        <w:tc>
          <w:tcPr>
            <w:tcW w:type="dxa" w:w="1440"/>
          </w:tcPr>
          <w:p>
            <w:r>
              <w:rPr>
                <w:rFonts w:ascii="Calibri" w:hAnsi="Calibri"/>
                <w:sz w:val="22"/>
              </w:rPr>
              <w:t>$4.37</w:t>
            </w:r>
          </w:p>
        </w:tc>
        <w:tc>
          <w:tcPr>
            <w:tcW w:type="dxa" w:w="1440"/>
          </w:tcPr>
          <w:p>
            <w:r>
              <w:rPr>
                <w:rFonts w:ascii="Calibri" w:hAnsi="Calibri"/>
                <w:sz w:val="22"/>
              </w:rPr>
              <w:t>$4.98</w:t>
            </w:r>
          </w:p>
        </w:tc>
        <w:tc>
          <w:tcPr>
            <w:tcW w:type="dxa" w:w="1440"/>
          </w:tcPr>
          <w:p>
            <w:r>
              <w:rPr>
                <w:rFonts w:ascii="Calibri" w:hAnsi="Calibri"/>
                <w:b/>
                <w:color w:val="E5484D"/>
                <w:sz w:val="22"/>
              </w:rPr>
              <w:t>−12.2%</w:t>
            </w:r>
          </w:p>
        </w:tc>
        <w:tc>
          <w:tcPr>
            <w:tcW w:type="dxa" w:w="1440"/>
          </w:tcPr>
          <w:p>
            <w:r>
              <w:rPr>
                <w:rFonts w:ascii="Calibri" w:hAnsi="Calibri"/>
                <w:sz w:val="22"/>
              </w:rPr>
              <w:t>Miss</w:t>
            </w:r>
          </w:p>
        </w:tc>
      </w:tr>
      <w:tr>
        <w:tc>
          <w:tcPr>
            <w:tcW w:type="dxa" w:w="1440"/>
          </w:tcPr>
          <w:p>
            <w:r>
              <w:rPr>
                <w:rFonts w:ascii="Calibri" w:hAnsi="Calibri"/>
                <w:sz w:val="22"/>
              </w:rPr>
              <w:t>Q3 2024</w:t>
            </w:r>
          </w:p>
        </w:tc>
        <w:tc>
          <w:tcPr>
            <w:tcW w:type="dxa" w:w="1440"/>
          </w:tcPr>
          <w:p>
            <w:r>
              <w:rPr>
                <w:rFonts w:ascii="Calibri" w:hAnsi="Calibri"/>
                <w:sz w:val="22"/>
              </w:rPr>
              <w:t>Organic Growth</w:t>
            </w:r>
          </w:p>
        </w:tc>
        <w:tc>
          <w:tcPr>
            <w:tcW w:type="dxa" w:w="1440"/>
          </w:tcPr>
          <w:p>
            <w:r>
              <w:rPr>
                <w:rFonts w:ascii="Calibri" w:hAnsi="Calibri"/>
                <w:sz w:val="22"/>
              </w:rPr>
              <w:t>4.0%</w:t>
            </w:r>
          </w:p>
        </w:tc>
        <w:tc>
          <w:tcPr>
            <w:tcW w:type="dxa" w:w="1440"/>
          </w:tcPr>
          <w:p>
            <w:r>
              <w:rPr>
                <w:rFonts w:ascii="Calibri" w:hAnsi="Calibri"/>
                <w:sz w:val="22"/>
              </w:rPr>
              <w:t>5.2%</w:t>
            </w:r>
          </w:p>
        </w:tc>
        <w:tc>
          <w:tcPr>
            <w:tcW w:type="dxa" w:w="1440"/>
          </w:tcPr>
          <w:p>
            <w:r>
              <w:rPr>
                <w:rFonts w:ascii="Calibri" w:hAnsi="Calibri"/>
                <w:b/>
                <w:color w:val="E5484D"/>
                <w:sz w:val="22"/>
              </w:rPr>
              <w:t>−1.2 pts</w:t>
            </w:r>
          </w:p>
        </w:tc>
        <w:tc>
          <w:tcPr>
            <w:tcW w:type="dxa" w:w="1440"/>
          </w:tcPr>
          <w:p>
            <w:r>
              <w:rPr>
                <w:rFonts w:ascii="Calibri" w:hAnsi="Calibri"/>
                <w:sz w:val="22"/>
              </w:rPr>
              <w:t>Miss</w:t>
            </w:r>
          </w:p>
        </w:tc>
      </w:tr>
    </w:tbl>
    <w:p>
      <w:r>
        <w:rPr>
          <w:rFonts w:ascii="Calibri" w:hAnsi="Calibri"/>
          <w:i/>
          <w:color w:val="525866"/>
          <w:sz w:val="22"/>
        </w:rPr>
        <w:t xml:space="preserve">Source: Visible Alpha Consensus and Actuals Data. </w:t>
      </w:r>
      <w:r>
        <w:rPr>
          <w:rFonts w:ascii="Calibri" w:hAnsi="Calibri"/>
          <w:i/>
          <w:color w:val="525866"/>
          <w:sz w:val="22"/>
        </w:rPr>
        <w:t>Pattern: HON has beaten EPS consensus in 5 of the last 8 quarters, but has consistently missed organic revenue growth estimates in recent periods when macro or geopolitical headwinds emerged — the Q2 2026 setup mirrors Q1 2026 where the EPS beat was driven by margin outperformance despite a revenue miss.</w:t>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evolved significantly since the Q1 print — not because the operational outlook deteriorated, but because the </w:t>
      </w:r>
      <w:r>
        <w:rPr>
          <w:rFonts w:ascii="Calibri" w:hAnsi="Calibri"/>
          <w:b/>
          <w:color w:val="525866"/>
          <w:sz w:val="22"/>
        </w:rPr>
        <w:t>Aerospace spin on June 29 required a full rebase of the financial framework</w:t>
      </w:r>
      <w:r>
        <w:rPr>
          <w:rFonts w:ascii="Calibri" w:hAnsi="Calibri"/>
          <w:color w:val="525866"/>
          <w:sz w:val="22"/>
        </w:rPr>
        <w:t xml:space="preserve">; on a like-for-like RemainCo basis, management actually </w:t>
      </w:r>
      <w:r>
        <w:rPr>
          <w:rFonts w:ascii="Calibri" w:hAnsi="Calibri"/>
          <w:b/>
          <w:color w:val="525866"/>
          <w:sz w:val="22"/>
        </w:rPr>
        <w:t>raised Industrial Automation expectations and confirmed Q2 is tracking in line</w:t>
      </w:r>
      <w:r>
        <w:rPr>
          <w:rFonts w:ascii="Calibri" w:hAnsi="Calibri"/>
          <w:color w:val="525866"/>
          <w:sz w:val="22"/>
        </w:rPr>
        <w: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Earnings, Apr 23)</w:t>
            </w:r>
          </w:p>
        </w:tc>
        <w:tc>
          <w:tcPr>
            <w:tcW w:type="dxa" w:w="1728"/>
            <w:shd w:val="clear" w:color="auto" w:fill="3B4259"/>
          </w:tcPr>
          <w:p>
            <w:r>
              <w:rPr>
                <w:rFonts w:ascii="Calibri" w:hAnsi="Calibri"/>
                <w:b/>
                <w:color w:val="FFFFFF"/>
                <w:sz w:val="22"/>
              </w:rPr>
              <w:t>Revised Guidance (Post-Earnings Events)</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Sales (Incl. Aero)</w:t>
            </w:r>
          </w:p>
        </w:tc>
        <w:tc>
          <w:tcPr>
            <w:tcW w:type="dxa" w:w="1728"/>
          </w:tcPr>
          <w:p>
            <w:r>
              <w:rPr>
                <w:rFonts w:ascii="Calibri" w:hAnsi="Calibri"/>
                <w:sz w:val="22"/>
              </w:rPr>
              <w:t>$38.8B–$39.8B</w:t>
            </w:r>
          </w:p>
        </w:tc>
        <w:tc>
          <w:tcPr>
            <w:tcW w:type="dxa" w:w="1728"/>
          </w:tcPr>
          <w:p>
            <w:r>
              <w:rPr>
                <w:rFonts w:ascii="Calibri" w:hAnsi="Calibri"/>
                <w:sz w:val="22"/>
              </w:rPr>
              <w:t>Reaffirmed Jun 8; RemainCo FY: $19.9B–$20.2B</w:t>
            </w:r>
          </w:p>
        </w:tc>
        <w:tc>
          <w:tcPr>
            <w:tcW w:type="dxa" w:w="1728"/>
          </w:tcPr>
          <w:p>
            <w:r>
              <w:rPr>
                <w:rFonts w:ascii="Calibri" w:hAnsi="Calibri"/>
                <w:sz w:val="22"/>
              </w:rPr>
              <w:t>$39.4B (Incl. Aero basis)</w:t>
            </w:r>
          </w:p>
        </w:tc>
        <w:tc>
          <w:tcPr>
            <w:tcW w:type="dxa" w:w="1728"/>
          </w:tcPr>
          <w:p>
            <w:r>
              <w:rPr>
                <w:rFonts w:ascii="Calibri" w:hAnsi="Calibri"/>
                <w:sz w:val="22"/>
              </w:rPr>
              <w:t>Reaffirmed at Jun 8 Guidance Update Call; RemainCo framework introduced</w:t>
            </w:r>
          </w:p>
        </w:tc>
      </w:tr>
      <w:tr>
        <w:tc>
          <w:tcPr>
            <w:tcW w:type="dxa" w:w="1728"/>
          </w:tcPr>
          <w:p>
            <w:r>
              <w:rPr>
                <w:rFonts w:ascii="Calibri" w:hAnsi="Calibri"/>
                <w:sz w:val="22"/>
              </w:rPr>
              <w:t>FY 2026 Organic Growth</w:t>
            </w:r>
          </w:p>
        </w:tc>
        <w:tc>
          <w:tcPr>
            <w:tcW w:type="dxa" w:w="1728"/>
          </w:tcPr>
          <w:p>
            <w:r>
              <w:rPr>
                <w:rFonts w:ascii="Calibri" w:hAnsi="Calibri"/>
                <w:sz w:val="22"/>
              </w:rPr>
              <w:t>3%–6%</w:t>
            </w:r>
          </w:p>
        </w:tc>
        <w:tc>
          <w:tcPr>
            <w:tcW w:type="dxa" w:w="1728"/>
          </w:tcPr>
          <w:p>
            <w:r>
              <w:rPr>
                <w:rFonts w:ascii="Calibri" w:hAnsi="Calibri"/>
                <w:sz w:val="22"/>
              </w:rPr>
              <w:t>RemainCo: 2%–3% FY; 3%–5% H2</w:t>
            </w:r>
          </w:p>
        </w:tc>
        <w:tc>
          <w:tcPr>
            <w:tcW w:type="dxa" w:w="1728"/>
          </w:tcPr>
          <w:p>
            <w:r>
              <w:rPr>
                <w:rFonts w:ascii="Calibri" w:hAnsi="Calibri"/>
                <w:sz w:val="22"/>
              </w:rPr>
              <w:t>~4.3%</w:t>
            </w:r>
          </w:p>
        </w:tc>
        <w:tc>
          <w:tcPr>
            <w:tcW w:type="dxa" w:w="1728"/>
          </w:tcPr>
          <w:p>
            <w:r>
              <w:rPr>
                <w:rFonts w:ascii="Calibri" w:hAnsi="Calibri"/>
                <w:sz w:val="22"/>
              </w:rPr>
              <w:t>IA raised from “down low single digits” to “flat” at Jun 8 call; PA&amp;T flat for year, high single-digit H2</w:t>
            </w:r>
          </w:p>
        </w:tc>
      </w:tr>
      <w:tr>
        <w:tc>
          <w:tcPr>
            <w:tcW w:type="dxa" w:w="1728"/>
          </w:tcPr>
          <w:p>
            <w:r>
              <w:rPr>
                <w:rFonts w:ascii="Calibri" w:hAnsi="Calibri"/>
                <w:sz w:val="22"/>
              </w:rPr>
              <w:t>FY 2026 Segment Margin</w:t>
            </w:r>
          </w:p>
        </w:tc>
        <w:tc>
          <w:tcPr>
            <w:tcW w:type="dxa" w:w="1728"/>
          </w:tcPr>
          <w:p>
            <w:r>
              <w:rPr>
                <w:rFonts w:ascii="Calibri" w:hAnsi="Calibri"/>
                <w:sz w:val="22"/>
              </w:rPr>
              <w:t>22.7%–23.1% (Incl. Aero)</w:t>
            </w:r>
          </w:p>
        </w:tc>
        <w:tc>
          <w:tcPr>
            <w:tcW w:type="dxa" w:w="1728"/>
          </w:tcPr>
          <w:p>
            <w:r>
              <w:rPr>
                <w:rFonts w:ascii="Calibri" w:hAnsi="Calibri"/>
                <w:sz w:val="22"/>
              </w:rPr>
              <w:t>RemainCo: 19.8%–20.3%; exit rate ~22%</w:t>
            </w:r>
          </w:p>
        </w:tc>
        <w:tc>
          <w:tcPr>
            <w:tcW w:type="dxa" w:w="1728"/>
          </w:tcPr>
          <w:p>
            <w:r>
              <w:rPr>
                <w:rFonts w:ascii="Calibri" w:hAnsi="Calibri"/>
                <w:sz w:val="22"/>
              </w:rPr>
              <w:t>~20.0%</w:t>
            </w:r>
          </w:p>
        </w:tc>
        <w:tc>
          <w:tcPr>
            <w:tcW w:type="dxa" w:w="1728"/>
          </w:tcPr>
          <w:p>
            <w:r>
              <w:rPr>
                <w:rFonts w:ascii="Calibri" w:hAnsi="Calibri"/>
                <w:sz w:val="22"/>
              </w:rPr>
              <w:t>↑ Stranded cost removal tracking ahead of plan; day-1 stranded costs reduced to &lt;$300M from ~$400M prior estimate</w:t>
            </w:r>
          </w:p>
        </w:tc>
      </w:tr>
      <w:tr>
        <w:tc>
          <w:tcPr>
            <w:tcW w:type="dxa" w:w="1728"/>
          </w:tcPr>
          <w:p>
            <w:r>
              <w:rPr>
                <w:rFonts w:ascii="Calibri" w:hAnsi="Calibri"/>
                <w:sz w:val="22"/>
              </w:rPr>
              <w:t>Q2 2026 Adj. EPS (Incl. Aero)</w:t>
            </w:r>
          </w:p>
        </w:tc>
        <w:tc>
          <w:tcPr>
            <w:tcW w:type="dxa" w:w="1728"/>
          </w:tcPr>
          <w:p>
            <w:r>
              <w:rPr>
                <w:rFonts w:ascii="Calibri" w:hAnsi="Calibri"/>
                <w:sz w:val="22"/>
              </w:rPr>
              <w:t>$2.40 midpoint (pre-split); normalized ~$2.55</w:t>
            </w:r>
          </w:p>
        </w:tc>
        <w:tc>
          <w:tcPr>
            <w:tcW w:type="dxa" w:w="1728"/>
          </w:tcPr>
          <w:p>
            <w:r>
              <w:rPr>
                <w:rFonts w:ascii="Calibri" w:hAnsi="Calibri"/>
                <w:sz w:val="22"/>
              </w:rPr>
              <w:t>Updated Jul 8 for reverse split: $4.80 midpoint (post-split, Incl. Aero)</w:t>
            </w:r>
          </w:p>
        </w:tc>
        <w:tc>
          <w:tcPr>
            <w:tcW w:type="dxa" w:w="1728"/>
          </w:tcPr>
          <w:p>
            <w:r>
              <w:rPr>
                <w:rFonts w:ascii="Calibri" w:hAnsi="Calibri"/>
                <w:sz w:val="22"/>
              </w:rPr>
              <w:t>~$4.92 (post-split)</w:t>
            </w:r>
          </w:p>
        </w:tc>
        <w:tc>
          <w:tcPr>
            <w:tcW w:type="dxa" w:w="1728"/>
          </w:tcPr>
          <w:p>
            <w:r>
              <w:rPr>
                <w:rFonts w:ascii="Calibri" w:hAnsi="Calibri"/>
                <w:sz w:val="22"/>
              </w:rPr>
              <w:t>~$0.16 tax headwind (21% vs. 16% Q2 2025) well-flagged; consensus slightly above midpoint</w:t>
            </w:r>
          </w:p>
        </w:tc>
      </w:tr>
      <w:tr>
        <w:tc>
          <w:tcPr>
            <w:tcW w:type="dxa" w:w="1728"/>
          </w:tcPr>
          <w:p>
            <w:r>
              <w:rPr>
                <w:rFonts w:ascii="Calibri" w:hAnsi="Calibri"/>
                <w:sz w:val="22"/>
              </w:rPr>
              <w:t>Q2 2026 Organic Growth</w:t>
            </w:r>
          </w:p>
        </w:tc>
        <w:tc>
          <w:tcPr>
            <w:tcW w:type="dxa" w:w="1728"/>
          </w:tcPr>
          <w:p>
            <w:r>
              <w:rPr>
                <w:rFonts w:ascii="Calibri" w:hAnsi="Calibri"/>
                <w:sz w:val="22"/>
              </w:rPr>
              <w:t>2%–4%</w:t>
            </w:r>
          </w:p>
        </w:tc>
        <w:tc>
          <w:tcPr>
            <w:tcW w:type="dxa" w:w="1728"/>
          </w:tcPr>
          <w:p>
            <w:r>
              <w:rPr>
                <w:rFonts w:ascii="Calibri" w:hAnsi="Calibri"/>
                <w:sz w:val="22"/>
              </w:rPr>
              <w:t>Unchanged; ME impact now $50–75M (below low end of ~$95M guide)</w:t>
            </w:r>
          </w:p>
        </w:tc>
        <w:tc>
          <w:tcPr>
            <w:tcW w:type="dxa" w:w="1728"/>
          </w:tcPr>
          <w:p>
            <w:r>
              <w:rPr>
                <w:rFonts w:ascii="Calibri" w:hAnsi="Calibri"/>
                <w:sz w:val="22"/>
              </w:rPr>
              <w:t>~3.0%</w:t>
            </w:r>
          </w:p>
        </w:tc>
        <w:tc>
          <w:tcPr>
            <w:tcW w:type="dxa" w:w="1728"/>
          </w:tcPr>
          <w:p>
            <w:r>
              <w:rPr>
                <w:rFonts w:ascii="Calibri" w:hAnsi="Calibri"/>
                <w:sz w:val="22"/>
              </w:rPr>
              <w:t>↑ ME headwind tracking well below guided range per Jun 8 CFO commentary; upside risk to Q2 revenue</w:t>
            </w:r>
          </w:p>
        </w:tc>
      </w:tr>
      <w:tr>
        <w:tc>
          <w:tcPr>
            <w:tcW w:type="dxa" w:w="1728"/>
          </w:tcPr>
          <w:p>
            <w:r>
              <w:rPr>
                <w:rFonts w:ascii="Calibri" w:hAnsi="Calibri"/>
                <w:sz w:val="22"/>
              </w:rPr>
              <w:t>FY 2026 Free Cash Flow</w:t>
            </w:r>
          </w:p>
        </w:tc>
        <w:tc>
          <w:tcPr>
            <w:tcW w:type="dxa" w:w="1728"/>
          </w:tcPr>
          <w:p>
            <w:r>
              <w:rPr>
                <w:rFonts w:ascii="Calibri" w:hAnsi="Calibri"/>
                <w:sz w:val="22"/>
              </w:rPr>
              <w:t>~$2.0B (RemainCo)</w:t>
            </w:r>
          </w:p>
        </w:tc>
        <w:tc>
          <w:tcPr>
            <w:tcW w:type="dxa" w:w="1728"/>
          </w:tcPr>
          <w:p>
            <w:r>
              <w:rPr>
                <w:rFonts w:ascii="Calibri" w:hAnsi="Calibri"/>
                <w:sz w:val="22"/>
              </w:rPr>
              <w:t>H2 OCF revised to ~$1.7B (from ~$2.3B) due to higher CapEx and spin-related costs; FCF unchanged ~$2.0B</w:t>
            </w:r>
          </w:p>
        </w:tc>
        <w:tc>
          <w:tcPr>
            <w:tcW w:type="dxa" w:w="1728"/>
          </w:tcPr>
          <w:p>
            <w:r>
              <w:rPr>
                <w:rFonts w:ascii="Calibri" w:hAnsi="Calibri"/>
                <w:sz w:val="22"/>
              </w:rPr>
              <w:t>~$2.6B</w:t>
            </w:r>
          </w:p>
        </w:tc>
        <w:tc>
          <w:tcPr>
            <w:tcW w:type="dxa" w:w="1728"/>
          </w:tcPr>
          <w:p>
            <w:r>
              <w:rPr>
                <w:rFonts w:ascii="Calibri" w:hAnsi="Calibri"/>
                <w:sz w:val="22"/>
              </w:rPr>
              <w:t>↓ H2 OCF guide cut Jul 8 due to CapEx and separation costs; FCF guidance maintained</w:t>
            </w:r>
          </w:p>
        </w:tc>
      </w:tr>
      <w:tr>
        <w:tc>
          <w:tcPr>
            <w:tcW w:type="dxa" w:w="1728"/>
          </w:tcPr>
          <w:p>
            <w:r>
              <w:rPr>
                <w:rFonts w:ascii="Calibri" w:hAnsi="Calibri"/>
                <w:sz w:val="22"/>
              </w:rPr>
              <w:t>Middle East Revenue Impact (Q2)</w:t>
            </w:r>
          </w:p>
        </w:tc>
        <w:tc>
          <w:tcPr>
            <w:tcW w:type="dxa" w:w="1728"/>
          </w:tcPr>
          <w:p>
            <w:r>
              <w:rPr>
                <w:rFonts w:ascii="Calibri" w:hAnsi="Calibri"/>
                <w:sz w:val="22"/>
              </w:rPr>
              <w:t>~1% of revenue (~$95M headwind)</w:t>
            </w:r>
          </w:p>
        </w:tc>
        <w:tc>
          <w:tcPr>
            <w:tcW w:type="dxa" w:w="1728"/>
          </w:tcPr>
          <w:p>
            <w:r>
              <w:rPr>
                <w:rFonts w:ascii="Calibri" w:hAnsi="Calibri"/>
                <w:sz w:val="22"/>
              </w:rPr>
              <w:t>$50–75M (Jun 8 update)</w:t>
            </w:r>
          </w:p>
        </w:tc>
        <w:tc>
          <w:tcPr>
            <w:tcW w:type="dxa" w:w="1728"/>
          </w:tcPr>
          <w:p>
            <w:r>
              <w:rPr>
                <w:rFonts w:ascii="Calibri" w:hAnsi="Calibri"/>
                <w:sz w:val="22"/>
              </w:rPr>
              <w:t>N/A</w:t>
            </w:r>
          </w:p>
        </w:tc>
        <w:tc>
          <w:tcPr>
            <w:tcW w:type="dxa" w:w="1728"/>
          </w:tcPr>
          <w:p>
            <w:r>
              <w:rPr>
                <w:rFonts w:ascii="Calibri" w:hAnsi="Calibri"/>
                <w:sz w:val="22"/>
              </w:rPr>
              <w:t>↑ Significant improvement vs. initial guide; customers actively engaged on repairs and planning expansion</w:t>
            </w:r>
          </w:p>
        </w:tc>
      </w:tr>
    </w:tbl>
    <w:p>
      <w:r>
        <w:rPr>
          <w:rFonts w:ascii="Calibri" w:hAnsi="Calibri"/>
          <w:i/>
          <w:color w:val="525866"/>
          <w:sz w:val="22"/>
        </w:rPr>
        <w:t>Sources: HON Q1 2026 Earnings Call (Apr 23, 2026); HON Guidance Update Call (Jun 8, 2026); HON 8-K (Jul 8, 2026); Visible Alpha Consensus and Actuals Data.</w:t>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drifted modestly lower since the Q1 print, primarily reflecting the </w:t>
      </w:r>
      <w:r>
        <w:rPr>
          <w:rFonts w:ascii="Calibri" w:hAnsi="Calibri"/>
          <w:b/>
          <w:color w:val="525866"/>
          <w:sz w:val="22"/>
        </w:rPr>
        <w:t>tax headwind and portfolio complexity around the Aerospace spin</w:t>
      </w:r>
      <w:r>
        <w:rPr>
          <w:rFonts w:ascii="Calibri" w:hAnsi="Calibri"/>
          <w:color w:val="525866"/>
          <w:sz w:val="22"/>
        </w:rPr>
        <w:t xml:space="preserve"> rather than any deterioration in underlying demand; the </w:t>
      </w:r>
      <w:r>
        <w:rPr>
          <w:rFonts w:ascii="Calibri" w:hAnsi="Calibri"/>
          <w:b/>
          <w:color w:val="525866"/>
          <w:sz w:val="22"/>
        </w:rPr>
        <w:t>FY 2026 EPS consensus of ~$21.09 (post-split) sits at the low end of the $7.90–$8.30 RemainCo guidance range</w:t>
      </w:r>
      <w:r>
        <w:rPr>
          <w:rFonts w:ascii="Calibri" w:hAnsi="Calibri"/>
          <w:color w:val="525866"/>
          <w:sz w:val="22"/>
        </w:rPr>
        <w:t>, suggesting the Street has not yet fully credited the stranded cost removal upside or the PA&amp;T H2 acceleration.</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(Apr 30,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 Apr 23)</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w:t>
            </w:r>
          </w:p>
        </w:tc>
      </w:tr>
      <w:tr>
        <w:tc>
          <w:tcPr>
            <w:tcW w:type="dxa" w:w="1080"/>
          </w:tcPr>
          <w:p>
            <w:r>
              <w:rPr>
                <w:rFonts w:ascii="Calibri" w:hAnsi="Calibri"/>
                <w:sz w:val="22"/>
              </w:rPr>
              <w:t>Adj. EPS — Q2 2026 (Incl. Aero, pre-split)</w:t>
            </w:r>
          </w:p>
        </w:tc>
        <w:tc>
          <w:tcPr>
            <w:tcW w:type="dxa" w:w="1080"/>
          </w:tcPr>
          <w:p>
            <w:r>
              <w:rPr>
                <w:rFonts w:ascii="Calibri" w:hAnsi="Calibri"/>
                <w:sz w:val="22"/>
              </w:rPr>
              <w:t>$2.384</w:t>
            </w:r>
          </w:p>
        </w:tc>
        <w:tc>
          <w:tcPr>
            <w:tcW w:type="dxa" w:w="1080"/>
          </w:tcPr>
          <w:p>
            <w:r>
              <w:rPr>
                <w:rFonts w:ascii="Calibri" w:hAnsi="Calibri"/>
                <w:sz w:val="22"/>
              </w:rPr>
              <w:t>$2.318</w:t>
            </w:r>
          </w:p>
        </w:tc>
        <w:tc>
          <w:tcPr>
            <w:tcW w:type="dxa" w:w="1080"/>
          </w:tcPr>
          <w:p>
            <w:r>
              <w:rPr>
                <w:rFonts w:ascii="Calibri" w:hAnsi="Calibri"/>
                <w:b/>
                <w:color w:val="E5484D"/>
                <w:sz w:val="22"/>
              </w:rPr>
              <w:t>−2.8%</w:t>
            </w:r>
          </w:p>
        </w:tc>
        <w:tc>
          <w:tcPr>
            <w:tcW w:type="dxa" w:w="1080"/>
          </w:tcPr>
          <w:p>
            <w:r>
              <w:rPr>
                <w:rFonts w:ascii="Calibri" w:hAnsi="Calibri"/>
                <w:sz w:val="22"/>
              </w:rPr>
              <w:t>$2.40 midpoint</w:t>
            </w:r>
          </w:p>
        </w:tc>
        <w:tc>
          <w:tcPr>
            <w:tcW w:type="dxa" w:w="1080"/>
          </w:tcPr>
          <w:p>
            <w:r>
              <w:rPr>
                <w:rFonts w:ascii="Calibri" w:hAnsi="Calibri"/>
                <w:sz w:val="22"/>
              </w:rPr>
              <w:t>$2.40 midpoint (unchanged)</w:t>
            </w:r>
          </w:p>
        </w:tc>
        <w:tc>
          <w:tcPr>
            <w:tcW w:type="dxa" w:w="1080"/>
          </w:tcPr>
          <w:p>
            <w:r>
              <w:rPr>
                <w:rFonts w:ascii="Calibri" w:hAnsi="Calibri"/>
                <w:sz w:val="22"/>
              </w:rPr>
              <w:t>Unchanged</w:t>
            </w:r>
          </w:p>
        </w:tc>
        <w:tc>
          <w:tcPr>
            <w:tcW w:type="dxa" w:w="1080"/>
          </w:tcPr>
          <w:p>
            <w:r>
              <w:rPr>
                <w:rFonts w:ascii="Calibri" w:hAnsi="Calibri"/>
                <w:sz w:val="22"/>
              </w:rPr>
              <w:t>−3.4% below midpoint</w:t>
            </w:r>
          </w:p>
        </w:tc>
      </w:tr>
      <w:tr>
        <w:tc>
          <w:tcPr>
            <w:tcW w:type="dxa" w:w="1080"/>
          </w:tcPr>
          <w:p>
            <w:r>
              <w:rPr>
                <w:rFonts w:ascii="Calibri" w:hAnsi="Calibri"/>
                <w:sz w:val="22"/>
              </w:rPr>
              <w:t>Net Sales — Q2 2026 (Incl. Aero, $B)</w:t>
            </w:r>
          </w:p>
        </w:tc>
        <w:tc>
          <w:tcPr>
            <w:tcW w:type="dxa" w:w="1080"/>
          </w:tcPr>
          <w:p>
            <w:r>
              <w:rPr>
                <w:rFonts w:ascii="Calibri" w:hAnsi="Calibri"/>
                <w:sz w:val="22"/>
              </w:rPr>
              <w:t>$9.539B</w:t>
            </w:r>
          </w:p>
        </w:tc>
        <w:tc>
          <w:tcPr>
            <w:tcW w:type="dxa" w:w="1080"/>
          </w:tcPr>
          <w:p>
            <w:r>
              <w:rPr>
                <w:rFonts w:ascii="Calibri" w:hAnsi="Calibri"/>
                <w:sz w:val="22"/>
              </w:rPr>
              <w:t>$9.581B</w:t>
            </w:r>
          </w:p>
        </w:tc>
        <w:tc>
          <w:tcPr>
            <w:tcW w:type="dxa" w:w="1080"/>
          </w:tcPr>
          <w:p>
            <w:r>
              <w:rPr>
                <w:rFonts w:ascii="Calibri" w:hAnsi="Calibri"/>
                <w:b/>
                <w:color w:val="30A46C"/>
                <w:sz w:val="22"/>
              </w:rPr>
              <w:t>+0.4%</w:t>
            </w:r>
          </w:p>
        </w:tc>
        <w:tc>
          <w:tcPr>
            <w:tcW w:type="dxa" w:w="1080"/>
          </w:tcPr>
          <w:p>
            <w:r>
              <w:rPr>
                <w:rFonts w:ascii="Calibri" w:hAnsi="Calibri"/>
                <w:sz w:val="22"/>
              </w:rPr>
              <w:t>Organic 2%–4%</w:t>
            </w:r>
          </w:p>
        </w:tc>
        <w:tc>
          <w:tcPr>
            <w:tcW w:type="dxa" w:w="1080"/>
          </w:tcPr>
          <w:p>
            <w:r>
              <w:rPr>
                <w:rFonts w:ascii="Calibri" w:hAnsi="Calibri"/>
                <w:sz w:val="22"/>
              </w:rPr>
              <w:t>Organic 2%–4% (unchanged; ME now $50–75M)</w:t>
            </w:r>
          </w:p>
        </w:tc>
        <w:tc>
          <w:tcPr>
            <w:tcW w:type="dxa" w:w="1080"/>
          </w:tcPr>
          <w:p>
            <w:r>
              <w:rPr>
                <w:rFonts w:ascii="Calibri" w:hAnsi="Calibri"/>
                <w:sz w:val="22"/>
              </w:rPr>
              <w:t>Unchanged</w:t>
            </w:r>
          </w:p>
        </w:tc>
        <w:tc>
          <w:tcPr>
            <w:tcW w:type="dxa" w:w="1080"/>
          </w:tcPr>
          <w:p>
            <w:r>
              <w:rPr>
                <w:rFonts w:ascii="Calibri" w:hAnsi="Calibri"/>
                <w:sz w:val="22"/>
              </w:rPr>
              <w:t>~At midpoint</w:t>
            </w:r>
          </w:p>
        </w:tc>
      </w:tr>
      <w:tr>
        <w:tc>
          <w:tcPr>
            <w:tcW w:type="dxa" w:w="1080"/>
          </w:tcPr>
          <w:p>
            <w:r>
              <w:rPr>
                <w:rFonts w:ascii="Calibri" w:hAnsi="Calibri"/>
                <w:sz w:val="22"/>
              </w:rPr>
              <w:t>Adj. EPS — FY 2026 (Incl. Aero, pre-split)</w:t>
            </w:r>
          </w:p>
        </w:tc>
        <w:tc>
          <w:tcPr>
            <w:tcW w:type="dxa" w:w="1080"/>
          </w:tcPr>
          <w:p>
            <w:r>
              <w:rPr>
                <w:rFonts w:ascii="Calibri" w:hAnsi="Calibri"/>
                <w:sz w:val="22"/>
              </w:rPr>
              <w:t>$20.898</w:t>
            </w:r>
          </w:p>
        </w:tc>
        <w:tc>
          <w:tcPr>
            <w:tcW w:type="dxa" w:w="1080"/>
          </w:tcPr>
          <w:p>
            <w:r>
              <w:rPr>
                <w:rFonts w:ascii="Calibri" w:hAnsi="Calibri"/>
                <w:sz w:val="22"/>
              </w:rPr>
              <w:t>$21.091</w:t>
            </w:r>
          </w:p>
        </w:tc>
        <w:tc>
          <w:tcPr>
            <w:tcW w:type="dxa" w:w="1080"/>
          </w:tcPr>
          <w:p>
            <w:r>
              <w:rPr>
                <w:rFonts w:ascii="Calibri" w:hAnsi="Calibri"/>
                <w:b/>
                <w:color w:val="30A46C"/>
                <w:sz w:val="22"/>
              </w:rPr>
              <w:t>+0.9%</w:t>
            </w:r>
          </w:p>
        </w:tc>
        <w:tc>
          <w:tcPr>
            <w:tcW w:type="dxa" w:w="1080"/>
          </w:tcPr>
          <w:p>
            <w:r>
              <w:rPr>
                <w:rFonts w:ascii="Calibri" w:hAnsi="Calibri"/>
                <w:sz w:val="22"/>
              </w:rPr>
              <w:t>$10.35–$10.65 (Incl. Aero)</w:t>
            </w:r>
          </w:p>
        </w:tc>
        <w:tc>
          <w:tcPr>
            <w:tcW w:type="dxa" w:w="1080"/>
          </w:tcPr>
          <w:p>
            <w:r>
              <w:rPr>
                <w:rFonts w:ascii="Calibri" w:hAnsi="Calibri"/>
                <w:sz w:val="22"/>
              </w:rPr>
              <w:t>RemainCo: $7.90–$8.30 (post-split); +22%–28% growth</w:t>
            </w:r>
          </w:p>
        </w:tc>
        <w:tc>
          <w:tcPr>
            <w:tcW w:type="dxa" w:w="1080"/>
          </w:tcPr>
          <w:p>
            <w:r>
              <w:rPr>
                <w:rFonts w:ascii="Calibri" w:hAnsi="Calibri"/>
                <w:sz w:val="22"/>
              </w:rPr>
              <w:t>Rebase for spin</w:t>
            </w:r>
          </w:p>
        </w:tc>
        <w:tc>
          <w:tcPr>
            <w:tcW w:type="dxa" w:w="1080"/>
          </w:tcPr>
          <w:p>
            <w:r>
              <w:rPr>
                <w:rFonts w:ascii="Calibri" w:hAnsi="Calibri"/>
                <w:sz w:val="22"/>
              </w:rPr>
              <w:t>~At low end of RemainCo range</w:t>
            </w:r>
          </w:p>
        </w:tc>
      </w:tr>
      <w:tr>
        <w:tc>
          <w:tcPr>
            <w:tcW w:type="dxa" w:w="1080"/>
          </w:tcPr>
          <w:p>
            <w:r>
              <w:rPr>
                <w:rFonts w:ascii="Calibri" w:hAnsi="Calibri"/>
                <w:sz w:val="22"/>
              </w:rPr>
              <w:t>Net Sales — FY 2026 (Incl. Aero, $B)</w:t>
            </w:r>
          </w:p>
        </w:tc>
        <w:tc>
          <w:tcPr>
            <w:tcW w:type="dxa" w:w="1080"/>
          </w:tcPr>
          <w:p>
            <w:r>
              <w:rPr>
                <w:rFonts w:ascii="Calibri" w:hAnsi="Calibri"/>
                <w:sz w:val="22"/>
              </w:rPr>
              <w:t>$39.390B</w:t>
            </w:r>
          </w:p>
        </w:tc>
        <w:tc>
          <w:tcPr>
            <w:tcW w:type="dxa" w:w="1080"/>
          </w:tcPr>
          <w:p>
            <w:r>
              <w:rPr>
                <w:rFonts w:ascii="Calibri" w:hAnsi="Calibri"/>
                <w:sz w:val="22"/>
              </w:rPr>
              <w:t>$39.380B</w:t>
            </w:r>
          </w:p>
        </w:tc>
        <w:tc>
          <w:tcPr>
            <w:tcW w:type="dxa" w:w="1080"/>
          </w:tcPr>
          <w:p>
            <w:r>
              <w:rPr>
                <w:rFonts w:ascii="Calibri" w:hAnsi="Calibri"/>
                <w:sz w:val="22"/>
              </w:rPr>
              <w:t>−0.0%</w:t>
            </w:r>
          </w:p>
        </w:tc>
        <w:tc>
          <w:tcPr>
            <w:tcW w:type="dxa" w:w="1080"/>
          </w:tcPr>
          <w:p>
            <w:r>
              <w:rPr>
                <w:rFonts w:ascii="Calibri" w:hAnsi="Calibri"/>
                <w:sz w:val="22"/>
              </w:rPr>
              <w:t>$38.8B–$39.8B</w:t>
            </w:r>
          </w:p>
        </w:tc>
        <w:tc>
          <w:tcPr>
            <w:tcW w:type="dxa" w:w="1080"/>
          </w:tcPr>
          <w:p>
            <w:r>
              <w:rPr>
                <w:rFonts w:ascii="Calibri" w:hAnsi="Calibri"/>
                <w:sz w:val="22"/>
              </w:rPr>
              <w:t>RemainCo: $19.9B–$20.2B</w:t>
            </w:r>
          </w:p>
        </w:tc>
        <w:tc>
          <w:tcPr>
            <w:tcW w:type="dxa" w:w="1080"/>
          </w:tcPr>
          <w:p>
            <w:r>
              <w:rPr>
                <w:rFonts w:ascii="Calibri" w:hAnsi="Calibri"/>
                <w:sz w:val="22"/>
              </w:rPr>
              <w:t>Rebase for spin</w:t>
            </w:r>
          </w:p>
        </w:tc>
        <w:tc>
          <w:tcPr>
            <w:tcW w:type="dxa" w:w="1080"/>
          </w:tcPr>
          <w:p>
            <w:r>
              <w:rPr>
                <w:rFonts w:ascii="Calibri" w:hAnsi="Calibri"/>
                <w:sz w:val="22"/>
              </w:rPr>
              <w:t>~At midpoint</w:t>
            </w:r>
          </w:p>
        </w:tc>
      </w:tr>
      <w:tr>
        <w:tc>
          <w:tcPr>
            <w:tcW w:type="dxa" w:w="1080"/>
          </w:tcPr>
          <w:p>
            <w:r>
              <w:rPr>
                <w:rFonts w:ascii="Calibri" w:hAnsi="Calibri"/>
                <w:sz w:val="22"/>
              </w:rPr>
              <w:t>Segment Margin — FY 2026 (%)</w:t>
            </w:r>
          </w:p>
        </w:tc>
        <w:tc>
          <w:tcPr>
            <w:tcW w:type="dxa" w:w="1080"/>
          </w:tcPr>
          <w:p>
            <w:r>
              <w:rPr>
                <w:rFonts w:ascii="Calibri" w:hAnsi="Calibri"/>
                <w:sz w:val="22"/>
              </w:rPr>
              <w:t>19.63%</w:t>
            </w:r>
          </w:p>
        </w:tc>
        <w:tc>
          <w:tcPr>
            <w:tcW w:type="dxa" w:w="1080"/>
          </w:tcPr>
          <w:p>
            <w:r>
              <w:rPr>
                <w:rFonts w:ascii="Calibri" w:hAnsi="Calibri"/>
                <w:sz w:val="22"/>
              </w:rPr>
              <w:t>20.01%</w:t>
            </w:r>
          </w:p>
        </w:tc>
        <w:tc>
          <w:tcPr>
            <w:tcW w:type="dxa" w:w="1080"/>
          </w:tcPr>
          <w:p>
            <w:r>
              <w:rPr>
                <w:rFonts w:ascii="Calibri" w:hAnsi="Calibri"/>
                <w:b/>
                <w:color w:val="30A46C"/>
                <w:sz w:val="22"/>
              </w:rPr>
              <w:t>+1.9%</w:t>
            </w:r>
          </w:p>
        </w:tc>
        <w:tc>
          <w:tcPr>
            <w:tcW w:type="dxa" w:w="1080"/>
          </w:tcPr>
          <w:p>
            <w:r>
              <w:rPr>
                <w:rFonts w:ascii="Calibri" w:hAnsi="Calibri"/>
                <w:sz w:val="22"/>
              </w:rPr>
              <w:t>22.7%–23.1% (Incl. Aero)</w:t>
            </w:r>
          </w:p>
        </w:tc>
        <w:tc>
          <w:tcPr>
            <w:tcW w:type="dxa" w:w="1080"/>
          </w:tcPr>
          <w:p>
            <w:r>
              <w:rPr>
                <w:rFonts w:ascii="Calibri" w:hAnsi="Calibri"/>
                <w:sz w:val="22"/>
              </w:rPr>
              <w:t>RemainCo: 19.8%–20.3%; exit ~22%</w:t>
            </w:r>
          </w:p>
        </w:tc>
        <w:tc>
          <w:tcPr>
            <w:tcW w:type="dxa" w:w="1080"/>
          </w:tcPr>
          <w:p>
            <w:r>
              <w:rPr>
                <w:rFonts w:ascii="Calibri" w:hAnsi="Calibri"/>
                <w:sz w:val="22"/>
              </w:rPr>
              <w:t>Rebase for spin</w:t>
            </w:r>
          </w:p>
        </w:tc>
        <w:tc>
          <w:tcPr>
            <w:tcW w:type="dxa" w:w="1080"/>
          </w:tcPr>
          <w:p>
            <w:r>
              <w:rPr>
                <w:rFonts w:ascii="Calibri" w:hAnsi="Calibri"/>
                <w:sz w:val="22"/>
              </w:rPr>
              <w:t>~At midpoint of RemainCo range</w:t>
            </w:r>
          </w:p>
        </w:tc>
      </w:tr>
      <w:tr>
        <w:tc>
          <w:tcPr>
            <w:tcW w:type="dxa" w:w="1080"/>
          </w:tcPr>
          <w:p>
            <w:r>
              <w:rPr>
                <w:rFonts w:ascii="Calibri" w:hAnsi="Calibri"/>
                <w:sz w:val="22"/>
              </w:rPr>
              <w:t>Free Cash Flow — FY 2026 ($B)</w:t>
            </w:r>
          </w:p>
        </w:tc>
        <w:tc>
          <w:tcPr>
            <w:tcW w:type="dxa" w:w="1080"/>
          </w:tcPr>
          <w:p>
            <w:r>
              <w:rPr>
                <w:rFonts w:ascii="Calibri" w:hAnsi="Calibri"/>
                <w:sz w:val="22"/>
              </w:rPr>
              <w:t>$1.306B</w:t>
            </w:r>
          </w:p>
        </w:tc>
        <w:tc>
          <w:tcPr>
            <w:tcW w:type="dxa" w:w="1080"/>
          </w:tcPr>
          <w:p>
            <w:r>
              <w:rPr>
                <w:rFonts w:ascii="Calibri" w:hAnsi="Calibri"/>
                <w:sz w:val="22"/>
              </w:rPr>
              <w:t>$2.603B</w:t>
            </w:r>
          </w:p>
        </w:tc>
        <w:tc>
          <w:tcPr>
            <w:tcW w:type="dxa" w:w="1080"/>
          </w:tcPr>
          <w:p>
            <w:r>
              <w:rPr>
                <w:rFonts w:ascii="Calibri" w:hAnsi="Calibri"/>
                <w:b/>
                <w:color w:val="30A46C"/>
                <w:sz w:val="22"/>
              </w:rPr>
              <w:t>+99.2%</w:t>
            </w:r>
          </w:p>
        </w:tc>
        <w:tc>
          <w:tcPr>
            <w:tcW w:type="dxa" w:w="1080"/>
          </w:tcPr>
          <w:p>
            <w:r>
              <w:rPr>
                <w:rFonts w:ascii="Calibri" w:hAnsi="Calibri"/>
                <w:sz w:val="22"/>
              </w:rPr>
              <w:t>~$2.0B (RemainCo)</w:t>
            </w:r>
          </w:p>
        </w:tc>
        <w:tc>
          <w:tcPr>
            <w:tcW w:type="dxa" w:w="1080"/>
          </w:tcPr>
          <w:p>
            <w:r>
              <w:rPr>
                <w:rFonts w:ascii="Calibri" w:hAnsi="Calibri"/>
                <w:sz w:val="22"/>
              </w:rPr>
              <w:t>~$2.0B (unchanged); H2 OCF revised to ~$1.7B</w:t>
            </w:r>
          </w:p>
        </w:tc>
        <w:tc>
          <w:tcPr>
            <w:tcW w:type="dxa" w:w="1080"/>
          </w:tcPr>
          <w:p>
            <w:r>
              <w:rPr>
                <w:rFonts w:ascii="Calibri" w:hAnsi="Calibri"/>
                <w:sz w:val="22"/>
              </w:rPr>
              <w:t>H2 OCF cut</w:t>
            </w:r>
          </w:p>
        </w:tc>
        <w:tc>
          <w:tcPr>
            <w:tcW w:type="dxa" w:w="1080"/>
          </w:tcPr>
          <w:p>
            <w:r>
              <w:rPr>
                <w:rFonts w:ascii="Calibri" w:hAnsi="Calibri"/>
                <w:sz w:val="22"/>
              </w:rPr>
              <w:t>~At guidance</w:t>
            </w:r>
          </w:p>
        </w:tc>
      </w:tr>
    </w:tbl>
    <w:p>
      <w:r>
        <w:rPr>
          <w:rFonts w:ascii="Calibri" w:hAnsi="Calibri"/>
          <w:i/>
          <w:color w:val="525866"/>
          <w:sz w:val="22"/>
        </w:rPr>
        <w:t>Source: Visible Alpha Consensus and Actuals Data; HON Q1 2026 Earnings Call; HON Guidance Update Call (Jun 8, 2026); HON 8-K (Jul 8, 2026). Note: Large FCF delta between Apr 30 and current consensus reflects the rebase from combined-company to RemainCo basis following the Aerospace spin. EPS figures are pre-split (1-for-2 reverse split effective Jun 29, 2026) for comparability on the Incl. Aerospace basis.</w:t>
      </w:r>
    </w:p>
    <w:p>
      <w:r>
        <w:rPr>
          <w:rFonts w:ascii="Calibri" w:hAnsi="Calibri"/>
          <w:color w:val="525866"/>
          <w:sz w:val="22"/>
        </w:rPr>
        <w:t>The key takeaway from the revision tracker is that estimates have been remarkably stable on a like-for-like basis — the apparent volatility is almost entirely a function of the Aerospace spin rebase. The modest EPS drift lower (−2.8% for Q2) reflects the tax headwind, not operational deterioration. The FY segment margin estimate has actually moved higher (+1.9%) as the Street credits stranded cost removal progress.</w:t>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HON's ~49% decline since the Q1 print is </w:t>
      </w:r>
      <w:r>
        <w:rPr>
          <w:rFonts w:ascii="Calibri" w:hAnsi="Calibri"/>
          <w:b/>
          <w:color w:val="525866"/>
          <w:sz w:val="22"/>
        </w:rPr>
        <w:t>almost entirely mechanical</w:t>
      </w:r>
      <w:r>
        <w:rPr>
          <w:rFonts w:ascii="Calibri" w:hAnsi="Calibri"/>
          <w:color w:val="525866"/>
          <w:sz w:val="22"/>
        </w:rPr>
        <w:t xml:space="preserve"> — the Aerospace spin-off on June 29 removed ~50% of the combined company's value from the HON share price (shareholders received HONR shares separately); on a RemainCo-adjusted basis, the stock has been roughly flat to slightly positive since Q1 earnings, with </w:t>
      </w:r>
      <w:r>
        <w:rPr>
          <w:rFonts w:ascii="Calibri" w:hAnsi="Calibri"/>
          <w:b/>
          <w:color w:val="525866"/>
          <w:sz w:val="22"/>
        </w:rPr>
        <w:t>multiple expansion of ~+3–7% on EV/EBITDA</w:t>
      </w:r>
      <w:r>
        <w:rPr>
          <w:rFonts w:ascii="Calibri" w:hAnsi="Calibri"/>
          <w:color w:val="525866"/>
          <w:sz w:val="22"/>
        </w:rPr>
        <w:t xml:space="preserve"> suggesting the market is beginning to assign a pure-play automation premium.</w:t>
      </w:r>
    </w:p>
    <w:p>
      <w:r>
        <w:rPr>
          <w:rFonts w:ascii="Calibri" w:hAnsi="Calibri"/>
          <w:color w:val="525866"/>
          <w:sz w:val="22"/>
        </w:rPr>
        <w:t>HON closed at $233.03 on July 22, 2026 (post-split, post-Aerospace-spin). The stock traded at $428.68 on April 23 (Q1 earnings day) on a pre-split, combined-company basis. The apparent ~49% decline is almost entirely attributable to the June 29 Aerospace spin-off and 1-for-2 reverse stock split, not operational underperformance. The sector ETF (XLI) has risen approximately +2.7% over the same period, while the S&amp;P 500 (SPY) has gained approximately +5.4%. On a NTM EV/EBITDA basis, HON's multiple has expanded approximately +3–7% since the Q1 print, consistent with the market beginning to assign a pure-play automation premium to the RemainCo entity. The stock is not pricing in a beat — it is pricing in execution on the RemainCo framework introduced at the June 8 and June 11 Investor Days.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1 Month</w:t>
            </w:r>
          </w:p>
        </w:tc>
        <w:tc>
          <w:tcPr>
            <w:tcW w:type="dxa" w:w="1728"/>
            <w:shd w:val="clear" w:color="auto" w:fill="3B4259"/>
          </w:tcPr>
          <w:p>
            <w:r>
              <w:rPr>
                <w:rFonts w:ascii="Calibri" w:hAnsi="Calibri"/>
                <w:b/>
                <w:color w:val="FFFFFF"/>
                <w:sz w:val="22"/>
              </w:rPr>
              <w:t>3 Month</w:t>
            </w:r>
          </w:p>
        </w:tc>
        <w:tc>
          <w:tcPr>
            <w:tcW w:type="dxa" w:w="1728"/>
            <w:shd w:val="clear" w:color="auto" w:fill="3B4259"/>
          </w:tcPr>
          <w:p>
            <w:r>
              <w:rPr>
                <w:rFonts w:ascii="Calibri" w:hAnsi="Calibri"/>
                <w:b/>
                <w:color w:val="FFFFFF"/>
                <w:sz w:val="22"/>
              </w:rPr>
              <w:t>6 Month</w:t>
            </w:r>
          </w:p>
        </w:tc>
        <w:tc>
          <w:tcPr>
            <w:tcW w:type="dxa" w:w="1728"/>
            <w:shd w:val="clear" w:color="auto" w:fill="3B4259"/>
          </w:tcPr>
          <w:p>
            <w:r>
              <w:rPr>
                <w:rFonts w:ascii="Calibri" w:hAnsi="Calibri"/>
                <w:b/>
                <w:color w:val="FFFFFF"/>
                <w:sz w:val="22"/>
              </w:rPr>
              <w:t>12 Month</w:t>
            </w:r>
          </w:p>
        </w:tc>
      </w:tr>
      <w:tr>
        <w:tc>
          <w:tcPr>
            <w:tcW w:type="dxa" w:w="1728"/>
          </w:tcPr>
          <w:p>
            <w:r>
              <w:rPr>
                <w:rFonts w:ascii="Calibri" w:hAnsi="Calibri"/>
                <w:sz w:val="22"/>
              </w:rPr>
              <w:t>HON Price Change (reported)</w:t>
            </w:r>
          </w:p>
        </w:tc>
        <w:tc>
          <w:tcPr>
            <w:tcW w:type="dxa" w:w="1728"/>
          </w:tcPr>
          <w:p>
            <w:r>
              <w:rPr>
                <w:rFonts w:ascii="Calibri" w:hAnsi="Calibri"/>
                <w:sz w:val="22"/>
              </w:rPr>
              <w:t>−48.9%</w:t>
            </w:r>
          </w:p>
        </w:tc>
        <w:tc>
          <w:tcPr>
            <w:tcW w:type="dxa" w:w="1728"/>
          </w:tcPr>
          <w:p>
            <w:r>
              <w:rPr>
                <w:rFonts w:ascii="Calibri" w:hAnsi="Calibri"/>
                <w:sz w:val="22"/>
              </w:rPr>
              <w:t>−47.6%</w:t>
            </w:r>
          </w:p>
        </w:tc>
        <w:tc>
          <w:tcPr>
            <w:tcW w:type="dxa" w:w="1728"/>
          </w:tcPr>
          <w:p>
            <w:r>
              <w:rPr>
                <w:rFonts w:ascii="Calibri" w:hAnsi="Calibri"/>
                <w:sz w:val="22"/>
              </w:rPr>
              <w:t>−45.8%</w:t>
            </w:r>
          </w:p>
        </w:tc>
        <w:tc>
          <w:tcPr>
            <w:tcW w:type="dxa" w:w="1728"/>
          </w:tcPr>
          <w:p>
            <w:r>
              <w:rPr>
                <w:rFonts w:ascii="Calibri" w:hAnsi="Calibri"/>
                <w:sz w:val="22"/>
              </w:rPr>
              <w:t>−47.4%</w:t>
            </w:r>
          </w:p>
        </w:tc>
      </w:tr>
      <w:tr>
        <w:tc>
          <w:tcPr>
            <w:tcW w:type="dxa" w:w="1728"/>
          </w:tcPr>
          <w:p>
            <w:r>
              <w:rPr>
                <w:rFonts w:ascii="Calibri" w:hAnsi="Calibri"/>
                <w:sz w:val="22"/>
              </w:rPr>
              <w:t>NTM EV/EBITDA (current)</w:t>
            </w:r>
          </w:p>
        </w:tc>
        <w:tc>
          <w:tcPr>
            <w:tcW w:type="dxa" w:w="1728"/>
          </w:tcPr>
          <w:p>
            <w:r>
              <w:rPr>
                <w:rFonts w:ascii="Calibri" w:hAnsi="Calibri"/>
                <w:sz w:val="22"/>
              </w:rPr>
              <w:t>16.1x</w:t>
            </w:r>
          </w:p>
        </w:tc>
        <w:tc>
          <w:tcPr>
            <w:tcW w:type="dxa" w:w="1728"/>
          </w:tcPr>
          <w:p>
            <w:r>
              <w:rPr>
                <w:rFonts w:ascii="Calibri" w:hAnsi="Calibri"/>
                <w:sz w:val="22"/>
              </w:rPr>
              <w:t>16.1x</w:t>
            </w:r>
          </w:p>
        </w:tc>
        <w:tc>
          <w:tcPr>
            <w:tcW w:type="dxa" w:w="1728"/>
          </w:tcPr>
          <w:p>
            <w:r>
              <w:rPr>
                <w:rFonts w:ascii="Calibri" w:hAnsi="Calibri"/>
                <w:sz w:val="22"/>
              </w:rPr>
              <w:t>16.1x</w:t>
            </w:r>
          </w:p>
        </w:tc>
        <w:tc>
          <w:tcPr>
            <w:tcW w:type="dxa" w:w="1728"/>
          </w:tcPr>
          <w:p>
            <w:r>
              <w:rPr>
                <w:rFonts w:ascii="Calibri" w:hAnsi="Calibri"/>
                <w:sz w:val="22"/>
              </w:rPr>
              <w:t>16.1x</w:t>
            </w:r>
          </w:p>
        </w:tc>
      </w:tr>
      <w:tr>
        <w:tc>
          <w:tcPr>
            <w:tcW w:type="dxa" w:w="1728"/>
          </w:tcPr>
          <w:p>
            <w:r>
              <w:rPr>
                <w:rFonts w:ascii="Calibri" w:hAnsi="Calibri"/>
                <w:sz w:val="22"/>
              </w:rPr>
              <w:t>NTM EV/EBITDA (at horizon)</w:t>
            </w:r>
          </w:p>
        </w:tc>
        <w:tc>
          <w:tcPr>
            <w:tcW w:type="dxa" w:w="1728"/>
          </w:tcPr>
          <w:p>
            <w:r>
              <w:rPr>
                <w:rFonts w:ascii="Calibri" w:hAnsi="Calibri"/>
                <w:sz w:val="22"/>
              </w:rPr>
              <w:t>15.7x</w:t>
            </w:r>
          </w:p>
        </w:tc>
        <w:tc>
          <w:tcPr>
            <w:tcW w:type="dxa" w:w="1728"/>
          </w:tcPr>
          <w:p>
            <w:r>
              <w:rPr>
                <w:rFonts w:ascii="Calibri" w:hAnsi="Calibri"/>
                <w:sz w:val="22"/>
              </w:rPr>
              <w:t>15.5x</w:t>
            </w:r>
          </w:p>
        </w:tc>
        <w:tc>
          <w:tcPr>
            <w:tcW w:type="dxa" w:w="1728"/>
          </w:tcPr>
          <w:p>
            <w:r>
              <w:rPr>
                <w:rFonts w:ascii="Calibri" w:hAnsi="Calibri"/>
                <w:sz w:val="22"/>
              </w:rPr>
              <w:t>15.1x</w:t>
            </w:r>
          </w:p>
        </w:tc>
        <w:tc>
          <w:tcPr>
            <w:tcW w:type="dxa" w:w="1728"/>
          </w:tcPr>
          <w:p>
            <w:r>
              <w:rPr>
                <w:rFonts w:ascii="Calibri" w:hAnsi="Calibri"/>
                <w:sz w:val="22"/>
              </w:rPr>
              <w:t>15.6x</w:t>
            </w:r>
          </w:p>
        </w:tc>
      </w:tr>
      <w:tr>
        <w:tc>
          <w:tcPr>
            <w:tcW w:type="dxa" w:w="1728"/>
          </w:tcPr>
          <w:p>
            <w:r>
              <w:rPr>
                <w:rFonts w:ascii="Calibri" w:hAnsi="Calibri"/>
                <w:sz w:val="22"/>
              </w:rPr>
              <w:t>EV/EBITDA Multiple Change</w:t>
            </w:r>
          </w:p>
        </w:tc>
        <w:tc>
          <w:tcPr>
            <w:tcW w:type="dxa" w:w="1728"/>
          </w:tcPr>
          <w:p>
            <w:r>
              <w:rPr>
                <w:rFonts w:ascii="Calibri" w:hAnsi="Calibri"/>
                <w:sz w:val="22"/>
              </w:rPr>
              <w:t>+2.9%</w:t>
            </w:r>
          </w:p>
        </w:tc>
        <w:tc>
          <w:tcPr>
            <w:tcW w:type="dxa" w:w="1728"/>
          </w:tcPr>
          <w:p>
            <w:r>
              <w:rPr>
                <w:rFonts w:ascii="Calibri" w:hAnsi="Calibri"/>
                <w:sz w:val="22"/>
              </w:rPr>
              <w:t>+3.9%</w:t>
            </w:r>
          </w:p>
        </w:tc>
        <w:tc>
          <w:tcPr>
            <w:tcW w:type="dxa" w:w="1728"/>
          </w:tcPr>
          <w:p>
            <w:r>
              <w:rPr>
                <w:rFonts w:ascii="Calibri" w:hAnsi="Calibri"/>
                <w:sz w:val="22"/>
              </w:rPr>
              <w:t>+7.1%</w:t>
            </w:r>
          </w:p>
        </w:tc>
        <w:tc>
          <w:tcPr>
            <w:tcW w:type="dxa" w:w="1728"/>
          </w:tcPr>
          <w:p>
            <w:r>
              <w:rPr>
                <w:rFonts w:ascii="Calibri" w:hAnsi="Calibri"/>
                <w:sz w:val="22"/>
              </w:rPr>
              <w:t>+3.8%</w:t>
            </w:r>
          </w:p>
        </w:tc>
      </w:tr>
      <w:tr>
        <w:tc>
          <w:tcPr>
            <w:tcW w:type="dxa" w:w="1728"/>
          </w:tcPr>
          <w:p>
            <w:r>
              <w:rPr>
                <w:rFonts w:ascii="Calibri" w:hAnsi="Calibri"/>
                <w:sz w:val="22"/>
              </w:rPr>
              <w:t>NTM P/E (current)</w:t>
            </w:r>
          </w:p>
        </w:tc>
        <w:tc>
          <w:tcPr>
            <w:tcW w:type="dxa" w:w="1728"/>
          </w:tcPr>
          <w:p>
            <w:r>
              <w:rPr>
                <w:rFonts w:ascii="Calibri" w:hAnsi="Calibri"/>
                <w:sz w:val="22"/>
              </w:rPr>
              <w:t>25.6x</w:t>
            </w:r>
          </w:p>
        </w:tc>
        <w:tc>
          <w:tcPr>
            <w:tcW w:type="dxa" w:w="1728"/>
          </w:tcPr>
          <w:p>
            <w:r>
              <w:rPr>
                <w:rFonts w:ascii="Calibri" w:hAnsi="Calibri"/>
                <w:sz w:val="22"/>
              </w:rPr>
              <w:t>25.6x</w:t>
            </w:r>
          </w:p>
        </w:tc>
        <w:tc>
          <w:tcPr>
            <w:tcW w:type="dxa" w:w="1728"/>
          </w:tcPr>
          <w:p>
            <w:r>
              <w:rPr>
                <w:rFonts w:ascii="Calibri" w:hAnsi="Calibri"/>
                <w:sz w:val="22"/>
              </w:rPr>
              <w:t>25.6x</w:t>
            </w:r>
          </w:p>
        </w:tc>
        <w:tc>
          <w:tcPr>
            <w:tcW w:type="dxa" w:w="1728"/>
          </w:tcPr>
          <w:p>
            <w:r>
              <w:rPr>
                <w:rFonts w:ascii="Calibri" w:hAnsi="Calibri"/>
                <w:sz w:val="22"/>
              </w:rPr>
              <w:t>25.6x</w:t>
            </w:r>
          </w:p>
        </w:tc>
      </w:tr>
      <w:tr>
        <w:tc>
          <w:tcPr>
            <w:tcW w:type="dxa" w:w="1728"/>
          </w:tcPr>
          <w:p>
            <w:r>
              <w:rPr>
                <w:rFonts w:ascii="Calibri" w:hAnsi="Calibri"/>
                <w:sz w:val="22"/>
              </w:rPr>
              <w:t>NTM P/FCF (current)</w:t>
            </w:r>
          </w:p>
        </w:tc>
        <w:tc>
          <w:tcPr>
            <w:tcW w:type="dxa" w:w="1728"/>
          </w:tcPr>
          <w:p>
            <w:r>
              <w:rPr>
                <w:rFonts w:ascii="Calibri" w:hAnsi="Calibri"/>
                <w:sz w:val="22"/>
              </w:rPr>
              <w:t>22.4x</w:t>
            </w:r>
          </w:p>
        </w:tc>
        <w:tc>
          <w:tcPr>
            <w:tcW w:type="dxa" w:w="1728"/>
          </w:tcPr>
          <w:p>
            <w:r>
              <w:rPr>
                <w:rFonts w:ascii="Calibri" w:hAnsi="Calibri"/>
                <w:sz w:val="22"/>
              </w:rPr>
              <w:t>22.4x</w:t>
            </w:r>
          </w:p>
        </w:tc>
        <w:tc>
          <w:tcPr>
            <w:tcW w:type="dxa" w:w="1728"/>
          </w:tcPr>
          <w:p>
            <w:r>
              <w:rPr>
                <w:rFonts w:ascii="Calibri" w:hAnsi="Calibri"/>
                <w:sz w:val="22"/>
              </w:rPr>
              <w:t>22.4x</w:t>
            </w:r>
          </w:p>
        </w:tc>
        <w:tc>
          <w:tcPr>
            <w:tcW w:type="dxa" w:w="1728"/>
          </w:tcPr>
          <w:p>
            <w:r>
              <w:rPr>
                <w:rFonts w:ascii="Calibri" w:hAnsi="Calibri"/>
                <w:sz w:val="22"/>
              </w:rPr>
              <w:t>22.4x</w:t>
            </w:r>
          </w:p>
        </w:tc>
      </w:tr>
    </w:tbl>
    <w:p>
      <w:r>
        <w:rPr>
          <w:rFonts w:ascii="Calibri" w:hAnsi="Calibri"/>
          <w:i/>
          <w:color w:val="525866"/>
          <w:sz w:val="22"/>
        </w:rPr>
        <w:t>Source: Stock Price Data (Yahoo Finance); HON Stock Performance Decomposition Data. Note: Reported price changes reflect the combined effect of the Aerospace spin-off (June 29, 2026) and 1-for-2 reverse stock split. The apparent decline is not indicative of RemainCo operational performance. Sector ETF used: XLI (Industrial Select Sector SPDR Fund), appropriate for HON's diversified industrial/automation profile.</w:t>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successful completion of the Aerospace spin-off on June 29</w:t>
      </w:r>
      <w:r>
        <w:rPr>
          <w:rFonts w:ascii="Calibri" w:hAnsi="Calibri"/>
          <w:color w:val="525866"/>
          <w:sz w:val="22"/>
        </w:rPr>
        <w:t>, which transforms HON into a pure-play automation company and removes the primary overhang on the stock; the June 8 Guidance Update Call and June 11 Investor Day provided the first comprehensive RemainCo financial framework, and the July 8 guidance update confirmed the operational trajectory is intact.</w:t>
      </w:r>
    </w:p>
    <w:p>
      <w:pPr>
        <w:pStyle w:val="ListBullet"/>
        <w:ind w:left="360" w:hanging="360"/>
      </w:pPr>
      <w:r>
        <w:rPr>
          <w:rFonts w:ascii="Calibri" w:hAnsi="Calibri"/>
          <w:b/>
          <w:color w:val="525866"/>
          <w:sz w:val="22"/>
        </w:rPr>
        <w:t>June 29, 2026 — Aerospace Spin-Off Completed &amp; Reverse Stock Split Effective.</w:t>
      </w:r>
      <w:r>
        <w:rPr>
          <w:rFonts w:ascii="Calibri" w:hAnsi="Calibri"/>
          <w:color w:val="525866"/>
          <w:sz w:val="22"/>
        </w:rPr>
        <w:t xml:space="preserve"> Honeywell Aerospace Technologies began trading as an independent company (HONR). Simultaneously, a 1-for-2 reverse stock split reduced HON's outstanding shares from 634M to 317M. The separation agreement, trademark license (5-year term, $146M/year to RemainCo), and tax matters agreement were all executed. </w:t>
      </w:r>
    </w:p>
    <w:p>
      <w:pPr>
        <w:pStyle w:val="ListBullet"/>
        <w:ind w:left="360" w:hanging="360"/>
      </w:pPr>
      <w:r>
        <w:rPr>
          <w:rFonts w:ascii="Calibri" w:hAnsi="Calibri"/>
          <w:b/>
          <w:color w:val="525866"/>
          <w:sz w:val="22"/>
        </w:rPr>
        <w:t>July 8, 2026 — HON Updates 2026 Guidance for Reverse Stock Split.</w:t>
      </w:r>
      <w:r>
        <w:rPr>
          <w:rFonts w:ascii="Calibri" w:hAnsi="Calibri"/>
          <w:color w:val="525866"/>
          <w:sz w:val="22"/>
        </w:rPr>
        <w:t xml:space="preserve"> Full-year EPS guidance updated to $7.90–$8.30 (post-split) from $3.95–$4.15 (pre-split). Sales, organic growth, and segment margin guidance unchanged. H2 2026 operating cash flow guidance revised to ~$1.7B from ~$2.3B due to higher CapEx and spin-related cost payments; FY FCF guidance maintained at ~$2.0B. </w:t>
      </w:r>
    </w:p>
    <w:p>
      <w:pPr>
        <w:pStyle w:val="ListBullet"/>
        <w:ind w:left="360" w:hanging="360"/>
      </w:pPr>
      <w:r>
        <w:rPr>
          <w:rFonts w:ascii="Calibri" w:hAnsi="Calibri"/>
          <w:b/>
          <w:color w:val="525866"/>
          <w:sz w:val="22"/>
        </w:rPr>
        <w:t>June 11, 2026 — Honeywell Technologies Investor Day.</w:t>
      </w:r>
      <w:r>
        <w:rPr>
          <w:rFonts w:ascii="Calibri" w:hAnsi="Calibri"/>
          <w:color w:val="525866"/>
          <w:sz w:val="22"/>
        </w:rPr>
        <w:t xml:space="preserve"> Management introduced a 3-year financial framework targeting 4–6% organic growth, 10%+ EPS growth through 2029, and segment margin expansion to ~22% by year-end 2026 and toward 25%+ over 3 years. CFO stated “I’ll be super disappointed if next year we don’t grow EPS by 12% plus.” Software ARR of ~$1B growing ~15%. Data center exposure above 5% of Building Automation sales. </w:t>
      </w:r>
    </w:p>
    <w:p>
      <w:pPr>
        <w:pStyle w:val="ListBullet"/>
        <w:ind w:left="360" w:hanging="360"/>
      </w:pPr>
      <w:r>
        <w:rPr>
          <w:rFonts w:ascii="Calibri" w:hAnsi="Calibri"/>
          <w:b/>
          <w:color w:val="525866"/>
          <w:sz w:val="22"/>
        </w:rPr>
        <w:t>June 8, 2026 — Guidance Update Call &amp; RemainCo Framework Introduced.</w:t>
      </w:r>
      <w:r>
        <w:rPr>
          <w:rFonts w:ascii="Calibri" w:hAnsi="Calibri"/>
          <w:color w:val="525866"/>
          <w:sz w:val="22"/>
        </w:rPr>
        <w:t xml:space="preserve"> Management confirmed Q2 is tracking in line with guidance through May. Middle East impact revised to $50–75M (below low end of ~$95M guided range). Industrial Automation full-year outlook raised from “down low single digits” to “flat.” Stranded cost day-1 estimate reduced to &lt;$300M from ~$400M. Quantinuum IPO (June 4) removed from adjusted results; $5B+ pickup in book value. </w:t>
      </w:r>
    </w:p>
    <w:p>
      <w:pPr>
        <w:pStyle w:val="ListBullet"/>
        <w:ind w:left="360" w:hanging="360"/>
      </w:pPr>
      <w:r>
        <w:rPr>
          <w:rFonts w:ascii="Calibri" w:hAnsi="Calibri"/>
          <w:b/>
          <w:color w:val="525866"/>
          <w:sz w:val="22"/>
        </w:rPr>
        <w:t>June 15, 2026 — Board Approves Aerospace Spin Distribution.</w:t>
      </w:r>
      <w:r>
        <w:rPr>
          <w:rFonts w:ascii="Calibri" w:hAnsi="Calibri"/>
          <w:color w:val="525866"/>
          <w:sz w:val="22"/>
        </w:rPr>
        <w:t xml:space="preserve"> HON board formally approved the distribution of Honeywell Aerospace shares to HON shareholders, confirming the record date and distribution ratio. </w:t>
      </w:r>
    </w:p>
    <w:p>
      <w:pPr>
        <w:pStyle w:val="ListBullet"/>
        <w:ind w:left="360" w:hanging="360"/>
      </w:pPr>
      <w:r>
        <w:rPr>
          <w:rFonts w:ascii="Calibri" w:hAnsi="Calibri"/>
          <w:b/>
          <w:color w:val="525866"/>
          <w:sz w:val="22"/>
        </w:rPr>
        <w:t>June 5, 2026 — PSS Sale to Brady Corporation Signed.</w:t>
      </w:r>
      <w:r>
        <w:rPr>
          <w:rFonts w:ascii="Calibri" w:hAnsi="Calibri"/>
          <w:color w:val="525866"/>
          <w:sz w:val="22"/>
        </w:rPr>
        <w:t xml:space="preserve"> Honeywell signed a definitive agreement to sell its Productivity Solutions and Services (PSS) business to Brady Corporation for all-cash consideration. Expected to close H2 2026. Implication: further simplification of Industrial Automation segment toward pure-play sensing and measurement. </w:t>
      </w:r>
    </w:p>
    <w:p>
      <w:pPr>
        <w:pStyle w:val="ListBullet"/>
        <w:ind w:left="360" w:hanging="360"/>
      </w:pPr>
      <w:r>
        <w:rPr>
          <w:rFonts w:ascii="Calibri" w:hAnsi="Calibri"/>
          <w:b/>
          <w:color w:val="525866"/>
          <w:sz w:val="22"/>
        </w:rPr>
        <w:t>June 4, 2026 — Quantinuum IPO Completed.</w:t>
      </w:r>
      <w:r>
        <w:rPr>
          <w:rFonts w:ascii="Calibri" w:hAnsi="Calibri"/>
          <w:color w:val="525866"/>
          <w:sz w:val="22"/>
        </w:rPr>
        <w:t xml:space="preserve"> Quantinuum completed its IPO; HON retains 47% ownership. Quantinuum deconsolidated from HON adjusted results. Book value pickup of $5B+ recorded in Q2 financials. No impact to segment margin or EPS guidance. </w:t>
      </w:r>
    </w:p>
    <w:p>
      <w:pPr>
        <w:pStyle w:val="ListBullet"/>
        <w:ind w:left="360" w:hanging="360"/>
      </w:pPr>
      <w:r>
        <w:rPr>
          <w:rFonts w:ascii="Calibri" w:hAnsi="Calibri"/>
          <w:b/>
          <w:color w:val="525866"/>
          <w:sz w:val="22"/>
        </w:rPr>
        <w:t>May 27, 2026 — WWS Sale to American Industrial Partners Signed.</w:t>
      </w:r>
      <w:r>
        <w:rPr>
          <w:rFonts w:ascii="Calibri" w:hAnsi="Calibri"/>
          <w:color w:val="525866"/>
          <w:sz w:val="22"/>
        </w:rPr>
        <w:t xml:space="preserve"> Honeywell signed a definitive agreement to sell its Warehouse and Workflow Solutions (WWS) business to American Industrial Partners. Expected to close H2 2026. Implication: completes the Industrial Automation portfolio simplification to sensing/measurement. </w:t>
      </w:r>
    </w:p>
    <w:p>
      <w:pPr>
        <w:pStyle w:val="ListBullet"/>
        <w:ind w:left="360" w:hanging="360"/>
      </w:pPr>
      <w:r>
        <w:rPr>
          <w:rFonts w:ascii="Calibri" w:hAnsi="Calibri"/>
          <w:b/>
          <w:color w:val="525866"/>
          <w:sz w:val="22"/>
        </w:rPr>
        <w:t>April 23, 2026 — Q1 2026 Earnings: EPS Beat, Revenue Miss, Below-Consensus Q2 Guide.</w:t>
      </w:r>
      <w:r>
        <w:rPr>
          <w:rFonts w:ascii="Calibri" w:hAnsi="Calibri"/>
          <w:color w:val="525866"/>
          <w:sz w:val="22"/>
        </w:rPr>
        <w:t xml:space="preserve"> Adj. EPS of $2.45 beat consensus of ~$2.31 (+6.1%). Revenue of $9.145B missed consensus of ~$9.28B. Q2 EPS guided to $2.40 midpoint (below consensus of ~$2.47 at the time), primarily due to a ~$0.16 tax headwind. Stock declined sharply on the revenue miss and below-consensus Q2 guide. Full-year guidance maintained. </w:t>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 xml:space="preserve">No open-market buys or discretionary sells were identified in the period since Q1 earnings; all transactions are </w:t>
      </w:r>
      <w:r>
        <w:rPr>
          <w:rFonts w:ascii="Calibri" w:hAnsi="Calibri"/>
          <w:b/>
          <w:color w:val="525866"/>
          <w:sz w:val="22"/>
        </w:rPr>
        <w:t>RSU vesting-related (code M/F) or annual director equity grants (code A)</w:t>
      </w:r>
      <w:r>
        <w:rPr>
          <w:rFonts w:ascii="Calibri" w:hAnsi="Calibri"/>
          <w:color w:val="525866"/>
          <w:sz w:val="22"/>
        </w:rPr>
        <w:t xml:space="preserve"> — routine and obligation-driven. The absence of discretionary selling ahead of the first RemainCo earnings print is a mild positive signal.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Kapur Vimal</w:t>
            </w:r>
          </w:p>
        </w:tc>
        <w:tc>
          <w:tcPr>
            <w:tcW w:type="dxa" w:w="1440"/>
          </w:tcPr>
          <w:p>
            <w:r>
              <w:rPr>
                <w:rFonts w:ascii="Calibri" w:hAnsi="Calibri"/>
                <w:sz w:val="22"/>
              </w:rPr>
              <w:t>CEO &amp; Director</w:t>
            </w:r>
          </w:p>
        </w:tc>
        <w:tc>
          <w:tcPr>
            <w:tcW w:type="dxa" w:w="1440"/>
          </w:tcPr>
          <w:p>
            <w:r>
              <w:rPr>
                <w:rFonts w:ascii="Calibri" w:hAnsi="Calibri"/>
                <w:sz w:val="22"/>
              </w:rPr>
              <w:t>RSU Vest (M) / Tax Withholding (F)</w:t>
            </w:r>
          </w:p>
        </w:tc>
        <w:tc>
          <w:tcPr>
            <w:tcW w:type="dxa" w:w="1440"/>
          </w:tcPr>
          <w:p>
            <w:r>
              <w:rPr>
                <w:rFonts w:ascii="Calibri" w:hAnsi="Calibri"/>
                <w:sz w:val="22"/>
              </w:rPr>
              <w:t>3,090 vested / 1,343 withheld</w:t>
            </w:r>
          </w:p>
        </w:tc>
        <w:tc>
          <w:tcPr>
            <w:tcW w:type="dxa" w:w="1440"/>
          </w:tcPr>
          <w:p>
            <w:r>
              <w:rPr>
                <w:rFonts w:ascii="Calibri" w:hAnsi="Calibri"/>
                <w:sz w:val="22"/>
              </w:rPr>
              <w:t>Jul 16, 2026</w:t>
            </w:r>
          </w:p>
        </w:tc>
        <w:tc>
          <w:tcPr>
            <w:tcW w:type="dxa" w:w="1440"/>
          </w:tcPr>
          <w:p>
            <w:r>
              <w:rPr>
                <w:rFonts w:ascii="Calibri" w:hAnsi="Calibri"/>
                <w:sz w:val="22"/>
              </w:rPr>
              <w:t>Routine RSU vesting; tax withholding sale, not discretionary</w:t>
            </w:r>
          </w:p>
        </w:tc>
      </w:tr>
      <w:tr>
        <w:tc>
          <w:tcPr>
            <w:tcW w:type="dxa" w:w="1440"/>
          </w:tcPr>
          <w:p>
            <w:r>
              <w:rPr>
                <w:rFonts w:ascii="Calibri" w:hAnsi="Calibri"/>
                <w:sz w:val="22"/>
              </w:rPr>
              <w:t>Hammoud Billal</w:t>
            </w:r>
          </w:p>
        </w:tc>
        <w:tc>
          <w:tcPr>
            <w:tcW w:type="dxa" w:w="1440"/>
          </w:tcPr>
          <w:p>
            <w:r>
              <w:rPr>
                <w:rFonts w:ascii="Calibri" w:hAnsi="Calibri"/>
                <w:sz w:val="22"/>
              </w:rPr>
              <w:t>Pres/CEO Building Automation</w:t>
            </w:r>
          </w:p>
        </w:tc>
        <w:tc>
          <w:tcPr>
            <w:tcW w:type="dxa" w:w="1440"/>
          </w:tcPr>
          <w:p>
            <w:r>
              <w:rPr>
                <w:rFonts w:ascii="Calibri" w:hAnsi="Calibri"/>
                <w:sz w:val="22"/>
              </w:rPr>
              <w:t>RSU Vest (M) / Tax Withholding (F)</w:t>
            </w:r>
          </w:p>
        </w:tc>
        <w:tc>
          <w:tcPr>
            <w:tcW w:type="dxa" w:w="1440"/>
          </w:tcPr>
          <w:p>
            <w:r>
              <w:rPr>
                <w:rFonts w:ascii="Calibri" w:hAnsi="Calibri"/>
                <w:sz w:val="22"/>
              </w:rPr>
              <w:t>1,030 vested / 465 withheld</w:t>
            </w:r>
          </w:p>
        </w:tc>
        <w:tc>
          <w:tcPr>
            <w:tcW w:type="dxa" w:w="1440"/>
          </w:tcPr>
          <w:p>
            <w:r>
              <w:rPr>
                <w:rFonts w:ascii="Calibri" w:hAnsi="Calibri"/>
                <w:sz w:val="22"/>
              </w:rPr>
              <w:t>Jul 16, 2026</w:t>
            </w:r>
          </w:p>
        </w:tc>
        <w:tc>
          <w:tcPr>
            <w:tcW w:type="dxa" w:w="1440"/>
          </w:tcPr>
          <w:p>
            <w:r>
              <w:rPr>
                <w:rFonts w:ascii="Calibri" w:hAnsi="Calibri"/>
                <w:sz w:val="22"/>
              </w:rPr>
              <w:t>Routine RSU vesting; tax withholding sale, not discretionary</w:t>
            </w:r>
          </w:p>
        </w:tc>
      </w:tr>
      <w:tr>
        <w:tc>
          <w:tcPr>
            <w:tcW w:type="dxa" w:w="1440"/>
          </w:tcPr>
          <w:p>
            <w:r>
              <w:rPr>
                <w:rFonts w:ascii="Calibri" w:hAnsi="Calibri"/>
                <w:sz w:val="22"/>
              </w:rPr>
              <w:t>Stepniak Michal</w:t>
            </w:r>
          </w:p>
        </w:tc>
        <w:tc>
          <w:tcPr>
            <w:tcW w:type="dxa" w:w="1440"/>
          </w:tcPr>
          <w:p>
            <w:r>
              <w:rPr>
                <w:rFonts w:ascii="Calibri" w:hAnsi="Calibri"/>
                <w:sz w:val="22"/>
              </w:rPr>
              <w:t>CFO</w:t>
            </w:r>
          </w:p>
        </w:tc>
        <w:tc>
          <w:tcPr>
            <w:tcW w:type="dxa" w:w="1440"/>
          </w:tcPr>
          <w:p>
            <w:r>
              <w:rPr>
                <w:rFonts w:ascii="Calibri" w:hAnsi="Calibri"/>
                <w:sz w:val="22"/>
              </w:rPr>
              <w:t>RSU Vest (M) / Tax Withholding (F)</w:t>
            </w:r>
          </w:p>
        </w:tc>
        <w:tc>
          <w:tcPr>
            <w:tcW w:type="dxa" w:w="1440"/>
          </w:tcPr>
          <w:p>
            <w:r>
              <w:rPr>
                <w:rFonts w:ascii="Calibri" w:hAnsi="Calibri"/>
                <w:sz w:val="22"/>
              </w:rPr>
              <w:t>Vested / withheld (see Form 4)</w:t>
            </w:r>
          </w:p>
        </w:tc>
        <w:tc>
          <w:tcPr>
            <w:tcW w:type="dxa" w:w="1440"/>
          </w:tcPr>
          <w:p>
            <w:r>
              <w:rPr>
                <w:rFonts w:ascii="Calibri" w:hAnsi="Calibri"/>
                <w:sz w:val="22"/>
              </w:rPr>
              <w:t>Jul 16, 2026</w:t>
            </w:r>
          </w:p>
        </w:tc>
        <w:tc>
          <w:tcPr>
            <w:tcW w:type="dxa" w:w="1440"/>
          </w:tcPr>
          <w:p>
            <w:r>
              <w:rPr>
                <w:rFonts w:ascii="Calibri" w:hAnsi="Calibri"/>
                <w:sz w:val="22"/>
              </w:rPr>
              <w:t>Routine RSU vesting; tax withholding sale, not discretionary</w:t>
            </w:r>
          </w:p>
        </w:tc>
      </w:tr>
      <w:tr>
        <w:tc>
          <w:tcPr>
            <w:tcW w:type="dxa" w:w="1440"/>
          </w:tcPr>
          <w:p>
            <w:r>
              <w:rPr>
                <w:rFonts w:ascii="Calibri" w:hAnsi="Calibri"/>
                <w:sz w:val="22"/>
              </w:rPr>
              <w:t>West Kenneth J</w:t>
            </w:r>
          </w:p>
        </w:tc>
        <w:tc>
          <w:tcPr>
            <w:tcW w:type="dxa" w:w="1440"/>
          </w:tcPr>
          <w:p>
            <w:r>
              <w:rPr>
                <w:rFonts w:ascii="Calibri" w:hAnsi="Calibri"/>
                <w:sz w:val="22"/>
              </w:rPr>
              <w:t>Pres/CEO Process Technology</w:t>
            </w:r>
          </w:p>
        </w:tc>
        <w:tc>
          <w:tcPr>
            <w:tcW w:type="dxa" w:w="1440"/>
          </w:tcPr>
          <w:p>
            <w:r>
              <w:rPr>
                <w:rFonts w:ascii="Calibri" w:hAnsi="Calibri"/>
                <w:sz w:val="22"/>
              </w:rPr>
              <w:t>RSU Vest (M) / Tax Withholding (F)</w:t>
            </w:r>
          </w:p>
        </w:tc>
        <w:tc>
          <w:tcPr>
            <w:tcW w:type="dxa" w:w="1440"/>
          </w:tcPr>
          <w:p>
            <w:r>
              <w:rPr>
                <w:rFonts w:ascii="Calibri" w:hAnsi="Calibri"/>
                <w:sz w:val="22"/>
              </w:rPr>
              <w:t>Vested / withheld (see Form 4)</w:t>
            </w:r>
          </w:p>
        </w:tc>
        <w:tc>
          <w:tcPr>
            <w:tcW w:type="dxa" w:w="1440"/>
          </w:tcPr>
          <w:p>
            <w:r>
              <w:rPr>
                <w:rFonts w:ascii="Calibri" w:hAnsi="Calibri"/>
                <w:sz w:val="22"/>
              </w:rPr>
              <w:t>Jul 16, 2026</w:t>
            </w:r>
          </w:p>
        </w:tc>
        <w:tc>
          <w:tcPr>
            <w:tcW w:type="dxa" w:w="1440"/>
          </w:tcPr>
          <w:p>
            <w:r>
              <w:rPr>
                <w:rFonts w:ascii="Calibri" w:hAnsi="Calibri"/>
                <w:sz w:val="22"/>
              </w:rPr>
              <w:t>Routine RSU vesting; tax withholding sale, not discretionary</w:t>
            </w:r>
          </w:p>
        </w:tc>
      </w:tr>
      <w:tr>
        <w:tc>
          <w:tcPr>
            <w:tcW w:type="dxa" w:w="1440"/>
          </w:tcPr>
          <w:p>
            <w:r>
              <w:rPr>
                <w:rFonts w:ascii="Calibri" w:hAnsi="Calibri"/>
                <w:sz w:val="22"/>
              </w:rPr>
              <w:t>Lu Su Ping</w:t>
            </w:r>
          </w:p>
        </w:tc>
        <w:tc>
          <w:tcPr>
            <w:tcW w:type="dxa" w:w="1440"/>
          </w:tcPr>
          <w:p>
            <w:r>
              <w:rPr>
                <w:rFonts w:ascii="Calibri" w:hAnsi="Calibri"/>
                <w:sz w:val="22"/>
              </w:rPr>
              <w:t>Segment President</w:t>
            </w:r>
          </w:p>
        </w:tc>
        <w:tc>
          <w:tcPr>
            <w:tcW w:type="dxa" w:w="1440"/>
          </w:tcPr>
          <w:p>
            <w:r>
              <w:rPr>
                <w:rFonts w:ascii="Calibri" w:hAnsi="Calibri"/>
                <w:sz w:val="22"/>
              </w:rPr>
              <w:t>RSU Vest (M) / Tax Withholding (F)</w:t>
            </w:r>
          </w:p>
        </w:tc>
        <w:tc>
          <w:tcPr>
            <w:tcW w:type="dxa" w:w="1440"/>
          </w:tcPr>
          <w:p>
            <w:r>
              <w:rPr>
                <w:rFonts w:ascii="Calibri" w:hAnsi="Calibri"/>
                <w:sz w:val="22"/>
              </w:rPr>
              <w:t>Vested / withheld (see Form 4)</w:t>
            </w:r>
          </w:p>
        </w:tc>
        <w:tc>
          <w:tcPr>
            <w:tcW w:type="dxa" w:w="1440"/>
          </w:tcPr>
          <w:p>
            <w:r>
              <w:rPr>
                <w:rFonts w:ascii="Calibri" w:hAnsi="Calibri"/>
                <w:sz w:val="22"/>
              </w:rPr>
              <w:t>Jul 16, 2026</w:t>
            </w:r>
          </w:p>
        </w:tc>
        <w:tc>
          <w:tcPr>
            <w:tcW w:type="dxa" w:w="1440"/>
          </w:tcPr>
          <w:p>
            <w:r>
              <w:rPr>
                <w:rFonts w:ascii="Calibri" w:hAnsi="Calibri"/>
                <w:sz w:val="22"/>
              </w:rPr>
              <w:t>Routine RSU vesting; tax withholding sale, not discretionary</w:t>
            </w:r>
          </w:p>
        </w:tc>
      </w:tr>
      <w:tr>
        <w:tc>
          <w:tcPr>
            <w:tcW w:type="dxa" w:w="1440"/>
          </w:tcPr>
          <w:p>
            <w:r>
              <w:rPr>
                <w:rFonts w:ascii="Calibri" w:hAnsi="Calibri"/>
                <w:sz w:val="22"/>
              </w:rPr>
              <w:t>Masso James</w:t>
            </w:r>
          </w:p>
        </w:tc>
        <w:tc>
          <w:tcPr>
            <w:tcW w:type="dxa" w:w="1440"/>
          </w:tcPr>
          <w:p>
            <w:r>
              <w:rPr>
                <w:rFonts w:ascii="Calibri" w:hAnsi="Calibri"/>
                <w:sz w:val="22"/>
              </w:rPr>
              <w:t>Segment President</w:t>
            </w:r>
          </w:p>
        </w:tc>
        <w:tc>
          <w:tcPr>
            <w:tcW w:type="dxa" w:w="1440"/>
          </w:tcPr>
          <w:p>
            <w:r>
              <w:rPr>
                <w:rFonts w:ascii="Calibri" w:hAnsi="Calibri"/>
                <w:sz w:val="22"/>
              </w:rPr>
              <w:t>RSU Vest (M) / Tax Withholding (F)</w:t>
            </w:r>
          </w:p>
        </w:tc>
        <w:tc>
          <w:tcPr>
            <w:tcW w:type="dxa" w:w="1440"/>
          </w:tcPr>
          <w:p>
            <w:r>
              <w:rPr>
                <w:rFonts w:ascii="Calibri" w:hAnsi="Calibri"/>
                <w:sz w:val="22"/>
              </w:rPr>
              <w:t>Vested / withheld (see Form 4)</w:t>
            </w:r>
          </w:p>
        </w:tc>
        <w:tc>
          <w:tcPr>
            <w:tcW w:type="dxa" w:w="1440"/>
          </w:tcPr>
          <w:p>
            <w:r>
              <w:rPr>
                <w:rFonts w:ascii="Calibri" w:hAnsi="Calibri"/>
                <w:sz w:val="22"/>
              </w:rPr>
              <w:t>Jul 16, 2026</w:t>
            </w:r>
          </w:p>
        </w:tc>
        <w:tc>
          <w:tcPr>
            <w:tcW w:type="dxa" w:w="1440"/>
          </w:tcPr>
          <w:p>
            <w:r>
              <w:rPr>
                <w:rFonts w:ascii="Calibri" w:hAnsi="Calibri"/>
                <w:sz w:val="22"/>
              </w:rPr>
              <w:t>Routine RSU vesting; tax withholding sale, not discretionary</w:t>
            </w:r>
          </w:p>
        </w:tc>
      </w:tr>
      <w:tr>
        <w:tc>
          <w:tcPr>
            <w:tcW w:type="dxa" w:w="1440"/>
          </w:tcPr>
          <w:p>
            <w:r>
              <w:rPr>
                <w:rFonts w:ascii="Calibri" w:hAnsi="Calibri"/>
                <w:sz w:val="22"/>
              </w:rPr>
              <w:t>Reilly Jennifer J</w:t>
            </w:r>
          </w:p>
        </w:tc>
        <w:tc>
          <w:tcPr>
            <w:tcW w:type="dxa" w:w="1440"/>
          </w:tcPr>
          <w:p>
            <w:r>
              <w:rPr>
                <w:rFonts w:ascii="Calibri" w:hAnsi="Calibri"/>
                <w:sz w:val="22"/>
              </w:rPr>
              <w:t>General Counsel</w:t>
            </w:r>
          </w:p>
        </w:tc>
        <w:tc>
          <w:tcPr>
            <w:tcW w:type="dxa" w:w="1440"/>
          </w:tcPr>
          <w:p>
            <w:r>
              <w:rPr>
                <w:rFonts w:ascii="Calibri" w:hAnsi="Calibri"/>
                <w:sz w:val="22"/>
              </w:rPr>
              <w:t>RSU Vest (M) / Tax Withholding (F)</w:t>
            </w:r>
          </w:p>
        </w:tc>
        <w:tc>
          <w:tcPr>
            <w:tcW w:type="dxa" w:w="1440"/>
          </w:tcPr>
          <w:p>
            <w:r>
              <w:rPr>
                <w:rFonts w:ascii="Calibri" w:hAnsi="Calibri"/>
                <w:sz w:val="22"/>
              </w:rPr>
              <w:t>Vested / withheld (see Form 4)</w:t>
            </w:r>
          </w:p>
        </w:tc>
        <w:tc>
          <w:tcPr>
            <w:tcW w:type="dxa" w:w="1440"/>
          </w:tcPr>
          <w:p>
            <w:r>
              <w:rPr>
                <w:rFonts w:ascii="Calibri" w:hAnsi="Calibri"/>
                <w:sz w:val="22"/>
              </w:rPr>
              <w:t>Jul 1, 2026</w:t>
            </w:r>
          </w:p>
        </w:tc>
        <w:tc>
          <w:tcPr>
            <w:tcW w:type="dxa" w:w="1440"/>
          </w:tcPr>
          <w:p>
            <w:r>
              <w:rPr>
                <w:rFonts w:ascii="Calibri" w:hAnsi="Calibri"/>
                <w:sz w:val="22"/>
              </w:rPr>
              <w:t>Routine RSU vesting; tax withholding sale, not discretionary</w:t>
            </w:r>
          </w:p>
        </w:tc>
      </w:tr>
      <w:tr>
        <w:tc>
          <w:tcPr>
            <w:tcW w:type="dxa" w:w="1440"/>
          </w:tcPr>
          <w:p>
            <w:r>
              <w:rPr>
                <w:rFonts w:ascii="Calibri" w:hAnsi="Calibri"/>
                <w:sz w:val="22"/>
              </w:rPr>
              <w:t>Multiple Directors (10 individuals)</w:t>
            </w:r>
          </w:p>
        </w:tc>
        <w:tc>
          <w:tcPr>
            <w:tcW w:type="dxa" w:w="1440"/>
          </w:tcPr>
          <w:p>
            <w:r>
              <w:rPr>
                <w:rFonts w:ascii="Calibri" w:hAnsi="Calibri"/>
                <w:sz w:val="22"/>
              </w:rPr>
              <w:t>Board Directors</w:t>
            </w:r>
          </w:p>
        </w:tc>
        <w:tc>
          <w:tcPr>
            <w:tcW w:type="dxa" w:w="1440"/>
          </w:tcPr>
          <w:p>
            <w:r>
              <w:rPr>
                <w:rFonts w:ascii="Calibri" w:hAnsi="Calibri"/>
                <w:sz w:val="22"/>
              </w:rPr>
              <w:t>Annual RSU Grant (A)</w:t>
            </w:r>
          </w:p>
        </w:tc>
        <w:tc>
          <w:tcPr>
            <w:tcW w:type="dxa" w:w="1440"/>
          </w:tcPr>
          <w:p>
            <w:r>
              <w:rPr>
                <w:rFonts w:ascii="Calibri" w:hAnsi="Calibri"/>
                <w:sz w:val="22"/>
              </w:rPr>
              <w:t>576 RSUs each</w:t>
            </w:r>
          </w:p>
        </w:tc>
        <w:tc>
          <w:tcPr>
            <w:tcW w:type="dxa" w:w="1440"/>
          </w:tcPr>
          <w:p>
            <w:r>
              <w:rPr>
                <w:rFonts w:ascii="Calibri" w:hAnsi="Calibri"/>
                <w:sz w:val="22"/>
              </w:rPr>
              <w:t>May 22, 2026</w:t>
            </w:r>
          </w:p>
        </w:tc>
        <w:tc>
          <w:tcPr>
            <w:tcW w:type="dxa" w:w="1440"/>
          </w:tcPr>
          <w:p>
            <w:r>
              <w:rPr>
                <w:rFonts w:ascii="Calibri" w:hAnsi="Calibri"/>
                <w:sz w:val="22"/>
              </w:rPr>
              <w:t>Annual director equity compensation; routine and non-discretionary</w:t>
            </w:r>
          </w:p>
        </w:tc>
      </w:tr>
    </w:tbl>
    <w:p>
      <w:r>
        <w:rPr>
          <w:rFonts w:ascii="Calibri" w:hAnsi="Calibri"/>
          <w:i/>
          <w:color w:val="525866"/>
          <w:sz w:val="22"/>
        </w:rPr>
        <w:t>Source: SEC Form 4 Filings (Insider Transaction Data). No open-market purchases (code P) or discretionary open-market sales (code S) were identified in the period April 23 – July 22, 2026. All transactions are RSU vesting events (code M), associated tax withholding dispositions (code F), or annual director equity grants (code A). The absence of any discretionary selling by senior management ahead of the first RemainCo earnings print is a mild positive signal.</w:t>
      </w:r>
    </w:p>
    <w:p>
      <w:r>
        <w:br w:type="page"/>
      </w:r>
    </w:p>
    <w:p>
      <w:pPr>
        <w:pStyle w:val="Heading2"/>
      </w:pPr>
      <w:r>
        <w:rPr>
          <w:rFonts w:ascii="Calibri" w:hAnsi="Calibri"/>
          <w:b/>
          <w:color w:val="3B4259"/>
          <w:sz w:val="28"/>
        </w:rPr>
        <w:t>8. Peer Commentary &amp; Read-Throughs (Last 60 Days)</w:t>
      </w:r>
    </w:p>
    <w:p>
      <w:r>
        <w:rPr>
          <w:rFonts w:ascii="Calibri" w:hAnsi="Calibri"/>
          <w:b/>
          <w:color w:val="525866"/>
          <w:sz w:val="22"/>
        </w:rPr>
        <w:t xml:space="preserve">Key Takeaway: </w:t>
      </w:r>
      <w:r>
        <w:rPr>
          <w:rFonts w:ascii="Calibri" w:hAnsi="Calibri"/>
          <w:color w:val="525866"/>
          <w:sz w:val="22"/>
        </w:rPr>
        <w:t xml:space="preserve">Peer commentary from GE Aerospace (Q2 2026 earnings, July 16), 3M (Q2 2026 earnings, July 21), and Rockwell Automation (Wells Fargo Conference, June 11) is </w:t>
      </w:r>
      <w:r>
        <w:rPr>
          <w:rFonts w:ascii="Calibri" w:hAnsi="Calibri"/>
          <w:b/>
          <w:color w:val="525866"/>
          <w:sz w:val="22"/>
        </w:rPr>
        <w:t>broadly positive for HON’s Q2 setup</w:t>
      </w:r>
      <w:r>
        <w:rPr>
          <w:rFonts w:ascii="Calibri" w:hAnsi="Calibri"/>
          <w:color w:val="525866"/>
          <w:sz w:val="22"/>
        </w:rPr>
        <w:t xml:space="preserve"> — aerospace demand is robust with no demand problem, industrial automation end markets are broadening, data center demand is durable, and pricing power is intact. The only cautionary notes are persistent supply-side constraints in aerospace and memory chip cost inflation in automation.</w:t>
      </w:r>
    </w:p>
    <w:p>
      <w:r>
        <w:rPr>
          <w:rFonts w:ascii="Calibri" w:hAnsi="Calibri"/>
          <w:i/>
          <w:color w:val="525866"/>
          <w:sz w:val="22"/>
        </w:rPr>
        <w:t xml:space="preserve">Note on scope: </w:t>
      </w:r>
      <w:r>
        <w:rPr>
          <w:rFonts w:ascii="Calibri" w:hAnsi="Calibri"/>
          <w:i/>
          <w:color w:val="525866"/>
          <w:sz w:val="22"/>
        </w:rPr>
        <w:t>Only commentary about Q2 2026 (current reporting period) or forward current-period demand/outlook is included below. Retrospective prior-quarter result discussions are excluded.</w:t>
      </w:r>
    </w:p>
    <w:p>
      <w:pPr>
        <w:pStyle w:val="Heading3"/>
      </w:pPr>
      <w:r>
        <w:rPr>
          <w:rFonts w:ascii="Calibri" w:hAnsi="Calibri"/>
          <w:b/>
          <w:color w:val="3B4259"/>
          <w:sz w:val="24"/>
        </w:rPr>
        <w:t>GE Aerospace — Q2 2026 Earnings (Reported July 16, 2026)</w:t>
      </w:r>
    </w:p>
    <w:p>
      <w:r>
        <w:rPr>
          <w:rFonts w:ascii="Calibri" w:hAnsi="Calibri"/>
          <w:b/>
          <w:color w:val="525866"/>
          <w:sz w:val="22"/>
        </w:rPr>
        <w:t xml:space="preserve">Relevance to HON: </w:t>
      </w:r>
      <w:r>
        <w:rPr>
          <w:rFonts w:ascii="Calibri" w:hAnsi="Calibri"/>
          <w:color w:val="525866"/>
          <w:sz w:val="22"/>
        </w:rPr>
        <w:t>GE Aerospace is the most direct read-through for HON’s Aerospace Technologies segment (now spun off as HONR) and for the commercial and defense aerospace end markets that drive HON’s remaining automation businesses.</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GE Commentary (Q2 2026)</w:t>
            </w:r>
          </w:p>
        </w:tc>
        <w:tc>
          <w:tcPr>
            <w:tcW w:type="dxa" w:w="2160"/>
            <w:shd w:val="clear" w:color="auto" w:fill="3B4259"/>
          </w:tcPr>
          <w:p>
            <w:r>
              <w:rPr>
                <w:rFonts w:ascii="Calibri" w:hAnsi="Calibri"/>
                <w:b/>
                <w:color w:val="FFFFFF"/>
                <w:sz w:val="22"/>
              </w:rPr>
              <w:t>HON Read-Through</w:t>
            </w:r>
          </w:p>
        </w:tc>
        <w:tc>
          <w:tcPr>
            <w:tcW w:type="dxa" w:w="2160"/>
            <w:shd w:val="clear" w:color="auto" w:fill="3B4259"/>
          </w:tcPr>
          <w:p>
            <w:r>
              <w:rPr>
                <w:rFonts w:ascii="Calibri" w:hAnsi="Calibri"/>
                <w:b/>
                <w:color w:val="FFFFFF"/>
                <w:sz w:val="22"/>
              </w:rPr>
              <w:t>Signal</w:t>
            </w:r>
          </w:p>
        </w:tc>
      </w:tr>
      <w:tr>
        <w:tc>
          <w:tcPr>
            <w:tcW w:type="dxa" w:w="2160"/>
          </w:tcPr>
          <w:p>
            <w:r>
              <w:rPr>
                <w:rFonts w:ascii="Calibri" w:hAnsi="Calibri"/>
                <w:sz w:val="22"/>
              </w:rPr>
              <w:t>Demand / Orders</w:t>
            </w:r>
          </w:p>
        </w:tc>
        <w:tc>
          <w:tcPr>
            <w:tcW w:type="dxa" w:w="2160"/>
          </w:tcPr>
          <w:p>
            <w:r>
              <w:rPr>
                <w:rFonts w:ascii="Calibri" w:hAnsi="Calibri"/>
                <w:sz w:val="22"/>
              </w:rPr>
              <w:t>Total orders +17% YoY; CES orders +18% (services +22%, equipment +7%); DPT orders +12%. “We do not have a demand problem.” Aftermarket demand “has been resilient.” Commercial services backlog ~$170B, up ~$30B since end of 2024.</w:t>
            </w:r>
          </w:p>
        </w:tc>
        <w:tc>
          <w:tcPr>
            <w:tcW w:type="dxa" w:w="2160"/>
          </w:tcPr>
          <w:p>
            <w:r>
              <w:rPr>
                <w:rFonts w:ascii="Calibri" w:hAnsi="Calibri"/>
                <w:sz w:val="22"/>
              </w:rPr>
              <w:t>Validates strong aerospace aftermarket demand environment. HON’s Aerospace segment (now HONR) and remaining automation businesses serving aerospace OEMs benefit from sustained high utilization and MRO activity.</w:t>
            </w:r>
          </w:p>
        </w:tc>
        <w:tc>
          <w:tcPr>
            <w:tcW w:type="dxa" w:w="2160"/>
          </w:tcPr>
          <w:p>
            <w:r>
              <w:rPr>
                <w:rFonts w:ascii="Calibri" w:hAnsi="Calibri"/>
                <w:b/>
                <w:color w:val="30A46C"/>
                <w:sz w:val="22"/>
              </w:rPr>
              <w:t>Positive</w:t>
            </w:r>
          </w:p>
        </w:tc>
      </w:tr>
      <w:tr>
        <w:tc>
          <w:tcPr>
            <w:tcW w:type="dxa" w:w="2160"/>
          </w:tcPr>
          <w:p>
            <w:r>
              <w:rPr>
                <w:rFonts w:ascii="Calibri" w:hAnsi="Calibri"/>
                <w:sz w:val="22"/>
              </w:rPr>
              <w:t>Full-Year 2026 Guidance Raise</w:t>
            </w:r>
          </w:p>
        </w:tc>
        <w:tc>
          <w:tcPr>
            <w:tcW w:type="dxa" w:w="2160"/>
          </w:tcPr>
          <w:p>
            <w:r>
              <w:rPr>
                <w:rFonts w:ascii="Calibri" w:hAnsi="Calibri"/>
                <w:sz w:val="22"/>
              </w:rPr>
              <w:t>Revenue growth raised to high-teens (from low double digits); operating profit raised to $10.55–$10.75B (from $9.85–$10.25B); EPS raised to $7.65–$7.85 (from $7.10–$7.40); FCF raised to $8.9–$9.2B (from $8.0–$8.4B). CES revenue growth now ~20%.</w:t>
            </w:r>
          </w:p>
        </w:tc>
        <w:tc>
          <w:tcPr>
            <w:tcW w:type="dxa" w:w="2160"/>
          </w:tcPr>
          <w:p>
            <w:r>
              <w:rPr>
                <w:rFonts w:ascii="Calibri" w:hAnsi="Calibri"/>
                <w:sz w:val="22"/>
              </w:rPr>
              <w:t>Broad-based guidance raise across revenue, profit, and FCF confirms a healthy and improving aerospace market. Positive backdrop for HON’s aerospace-adjacent automation businesses.</w:t>
            </w:r>
          </w:p>
        </w:tc>
        <w:tc>
          <w:tcPr>
            <w:tcW w:type="dxa" w:w="2160"/>
          </w:tcPr>
          <w:p>
            <w:r>
              <w:rPr>
                <w:rFonts w:ascii="Calibri" w:hAnsi="Calibri"/>
                <w:b/>
                <w:color w:val="30A46C"/>
                <w:sz w:val="22"/>
              </w:rPr>
              <w:t>Positive</w:t>
            </w:r>
          </w:p>
        </w:tc>
      </w:tr>
      <w:tr>
        <w:tc>
          <w:tcPr>
            <w:tcW w:type="dxa" w:w="2160"/>
          </w:tcPr>
          <w:p>
            <w:r>
              <w:rPr>
                <w:rFonts w:ascii="Calibri" w:hAnsi="Calibri"/>
                <w:sz w:val="22"/>
              </w:rPr>
              <w:t>Supply Chain</w:t>
            </w:r>
          </w:p>
        </w:tc>
        <w:tc>
          <w:tcPr>
            <w:tcW w:type="dxa" w:w="2160"/>
          </w:tcPr>
          <w:p>
            <w:r>
              <w:rPr>
                <w:rFonts w:ascii="Calibri" w:hAnsi="Calibri"/>
                <w:sz w:val="22"/>
              </w:rPr>
              <w:t>Priority supplier material input increasing double-digits sequentially and YoY. “Tremendous amount of progress on the supply chain side” with nine consecutive quarters of double-digit increases from critical suppliers. However, spare parts delinquency grew 20% sequentially — supply side remains the binding constraint, not demand.</w:t>
            </w:r>
          </w:p>
        </w:tc>
        <w:tc>
          <w:tcPr>
            <w:tcW w:type="dxa" w:w="2160"/>
          </w:tcPr>
          <w:p>
            <w:r>
              <w:rPr>
                <w:rFonts w:ascii="Calibri" w:hAnsi="Calibri"/>
                <w:sz w:val="22"/>
              </w:rPr>
              <w:t>Improving supply chain is a positive for HON’s aerospace manufacturing. Persistent delinquency signals ongoing tightness that could limit upside in HON’s aerospace output, consistent with HON’s own Q1 commentary on mechanical supply chain recovery.</w:t>
            </w:r>
          </w:p>
        </w:tc>
        <w:tc>
          <w:tcPr>
            <w:tcW w:type="dxa" w:w="2160"/>
          </w:tcPr>
          <w:p>
            <w:r>
              <w:rPr>
                <w:rFonts w:ascii="Calibri" w:hAnsi="Calibri"/>
                <w:b/>
                <w:color w:val="002FA7"/>
                <w:sz w:val="22"/>
              </w:rPr>
              <w:t>Mixed</w:t>
            </w:r>
          </w:p>
        </w:tc>
      </w:tr>
      <w:tr>
        <w:tc>
          <w:tcPr>
            <w:tcW w:type="dxa" w:w="2160"/>
          </w:tcPr>
          <w:p>
            <w:r>
              <w:rPr>
                <w:rFonts w:ascii="Calibri" w:hAnsi="Calibri"/>
                <w:sz w:val="22"/>
              </w:rPr>
              <w:t>Aftermarket / Services</w:t>
            </w:r>
          </w:p>
        </w:tc>
        <w:tc>
          <w:tcPr>
            <w:tcW w:type="dxa" w:w="2160"/>
          </w:tcPr>
          <w:p>
            <w:r>
              <w:rPr>
                <w:rFonts w:ascii="Calibri" w:hAnsi="Calibri"/>
                <w:sz w:val="22"/>
              </w:rPr>
              <w:t>CES services revenue +32% in H1; record internal shop visit output in Q2. Spare parts revenue +25%+. Shop visit pipeline for Q3 exceeds full-year guide by 40%+. Shop visits trending toward high end of 2,300–2,400 range for 2026 and 2027. LEAP installed base expected to more than double by 2030.</w:t>
            </w:r>
          </w:p>
        </w:tc>
        <w:tc>
          <w:tcPr>
            <w:tcW w:type="dxa" w:w="2160"/>
          </w:tcPr>
          <w:p>
            <w:r>
              <w:rPr>
                <w:rFonts w:ascii="Calibri" w:hAnsi="Calibri"/>
                <w:sz w:val="22"/>
              </w:rPr>
              <w:t>Directly positive for HON’s aerospace aftermarket business (now HONR). For RemainCo HON, the strong MRO environment supports demand for HON’s automation and process solutions serving aerospace MRO facilities.</w:t>
            </w:r>
          </w:p>
        </w:tc>
        <w:tc>
          <w:tcPr>
            <w:tcW w:type="dxa" w:w="2160"/>
          </w:tcPr>
          <w:p>
            <w:r>
              <w:rPr>
                <w:rFonts w:ascii="Calibri" w:hAnsi="Calibri"/>
                <w:b/>
                <w:color w:val="30A46C"/>
                <w:sz w:val="22"/>
              </w:rPr>
              <w:t>Positive</w:t>
            </w:r>
          </w:p>
        </w:tc>
      </w:tr>
      <w:tr>
        <w:tc>
          <w:tcPr>
            <w:tcW w:type="dxa" w:w="2160"/>
          </w:tcPr>
          <w:p>
            <w:r>
              <w:rPr>
                <w:rFonts w:ascii="Calibri" w:hAnsi="Calibri"/>
                <w:sz w:val="22"/>
              </w:rPr>
              <w:t>Defense</w:t>
            </w:r>
          </w:p>
        </w:tc>
        <w:tc>
          <w:tcPr>
            <w:tcW w:type="dxa" w:w="2160"/>
          </w:tcPr>
          <w:p>
            <w:r>
              <w:rPr>
                <w:rFonts w:ascii="Calibri" w:hAnsi="Calibri"/>
                <w:sz w:val="22"/>
              </w:rPr>
              <w:t>DPT revenue +16%; orders +12%. Defense revenue growth raised to low double digits (from mid-to-high single digits). New wins: Copa Airlines (120 LEAP-1B engines), Turkish Aerospace (F404), Leonardo Helicopters (CT7). XA102 engine Assembly Readiness Review completed.</w:t>
            </w:r>
          </w:p>
        </w:tc>
        <w:tc>
          <w:tcPr>
            <w:tcW w:type="dxa" w:w="2160"/>
          </w:tcPr>
          <w:p>
            <w:r>
              <w:rPr>
                <w:rFonts w:ascii="Calibri" w:hAnsi="Calibri"/>
                <w:sz w:val="22"/>
              </w:rPr>
              <w:t>Strong defense demand validates HON’s Department of War supplier framework agreement and multi-billion-dollar defense revenue opportunity. Positive for HON’s defense and space automation businesses.</w:t>
            </w:r>
          </w:p>
        </w:tc>
        <w:tc>
          <w:tcPr>
            <w:tcW w:type="dxa" w:w="2160"/>
          </w:tcPr>
          <w:p>
            <w:r>
              <w:rPr>
                <w:rFonts w:ascii="Calibri" w:hAnsi="Calibri"/>
                <w:b/>
                <w:color w:val="30A46C"/>
                <w:sz w:val="22"/>
              </w:rPr>
              <w:t>Positive</w:t>
            </w:r>
          </w:p>
        </w:tc>
      </w:tr>
      <w:tr>
        <w:tc>
          <w:tcPr>
            <w:tcW w:type="dxa" w:w="2160"/>
          </w:tcPr>
          <w:p>
            <w:r>
              <w:rPr>
                <w:rFonts w:ascii="Calibri" w:hAnsi="Calibri"/>
                <w:sz w:val="22"/>
              </w:rPr>
              <w:t>Margins</w:t>
            </w:r>
          </w:p>
        </w:tc>
        <w:tc>
          <w:tcPr>
            <w:tcW w:type="dxa" w:w="2160"/>
          </w:tcPr>
          <w:p>
            <w:r>
              <w:rPr>
                <w:rFonts w:ascii="Calibri" w:hAnsi="Calibri"/>
                <w:sz w:val="22"/>
              </w:rPr>
              <w:t>Operating profit margin 21.7%, down 130 bps from install engine growth, investments, and inflation. CES margins down 160 bps to 27.3%. DPT margins up 30 bps to 13.8%. Long-term margin expansion expected as LEAP services margins converge to portfolio average by 2028.</w:t>
            </w:r>
          </w:p>
        </w:tc>
        <w:tc>
          <w:tcPr>
            <w:tcW w:type="dxa" w:w="2160"/>
          </w:tcPr>
          <w:p>
            <w:r>
              <w:rPr>
                <w:rFonts w:ascii="Calibri" w:hAnsi="Calibri"/>
                <w:sz w:val="22"/>
              </w:rPr>
              <w:t>Margin pressure from OE mix and inflation is a common aerospace industry dynamic. HON’s aerospace segment faces similar dynamics; however, HON’s RemainCo automation margins are not directly affected by install engine economics.</w:t>
            </w:r>
          </w:p>
        </w:tc>
        <w:tc>
          <w:tcPr>
            <w:tcW w:type="dxa" w:w="2160"/>
          </w:tcPr>
          <w:p>
            <w:r>
              <w:rPr>
                <w:rFonts w:ascii="Calibri" w:hAnsi="Calibri"/>
                <w:b/>
                <w:color w:val="002FA7"/>
                <w:sz w:val="22"/>
              </w:rPr>
              <w:t>Mixed</w:t>
            </w:r>
          </w:p>
        </w:tc>
      </w:tr>
    </w:tbl>
    <w:p>
      <w:r>
        <w:rPr>
          <w:rFonts w:ascii="Calibri" w:hAnsi="Calibri"/>
          <w:i/>
          <w:color w:val="525866"/>
          <w:sz w:val="22"/>
        </w:rPr>
        <w:t>Source: GE Aerospace Q2 2026 Earnings Release and Earnings Call Transcript (July 16, 2026).</w:t>
      </w:r>
    </w:p>
    <w:p>
      <w:pPr>
        <w:pStyle w:val="Heading3"/>
      </w:pPr>
      <w:r>
        <w:rPr>
          <w:rFonts w:ascii="Calibri" w:hAnsi="Calibri"/>
          <w:b/>
          <w:color w:val="3B4259"/>
          <w:sz w:val="24"/>
        </w:rPr>
        <w:t>3M — Q2 2026 Earnings (Reported July 21, 2026)</w:t>
      </w:r>
    </w:p>
    <w:p>
      <w:r>
        <w:rPr>
          <w:rFonts w:ascii="Calibri" w:hAnsi="Calibri"/>
          <w:b/>
          <w:color w:val="525866"/>
          <w:sz w:val="22"/>
        </w:rPr>
        <w:t xml:space="preserve">Relevance to HON: </w:t>
      </w:r>
      <w:r>
        <w:rPr>
          <w:rFonts w:ascii="Calibri" w:hAnsi="Calibri"/>
          <w:color w:val="525866"/>
          <w:sz w:val="22"/>
        </w:rPr>
        <w:t>3M is a diversified industrial peer with overlapping end markets in industrial automation, safety, electronics, and data centers. 3M’s Q2 results provide a read-through for HON’s Building Automation and Industrial Automation segments.</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3M Commentary (Q2 2026)</w:t>
            </w:r>
          </w:p>
        </w:tc>
        <w:tc>
          <w:tcPr>
            <w:tcW w:type="dxa" w:w="2160"/>
            <w:shd w:val="clear" w:color="auto" w:fill="3B4259"/>
          </w:tcPr>
          <w:p>
            <w:r>
              <w:rPr>
                <w:rFonts w:ascii="Calibri" w:hAnsi="Calibri"/>
                <w:b/>
                <w:color w:val="FFFFFF"/>
                <w:sz w:val="22"/>
              </w:rPr>
              <w:t>HON Read-Through</w:t>
            </w:r>
          </w:p>
        </w:tc>
        <w:tc>
          <w:tcPr>
            <w:tcW w:type="dxa" w:w="2160"/>
            <w:shd w:val="clear" w:color="auto" w:fill="3B4259"/>
          </w:tcPr>
          <w:p>
            <w:r>
              <w:rPr>
                <w:rFonts w:ascii="Calibri" w:hAnsi="Calibri"/>
                <w:b/>
                <w:color w:val="FFFFFF"/>
                <w:sz w:val="22"/>
              </w:rPr>
              <w:t>Signal</w:t>
            </w:r>
          </w:p>
        </w:tc>
      </w:tr>
      <w:tr>
        <w:tc>
          <w:tcPr>
            <w:tcW w:type="dxa" w:w="2160"/>
          </w:tcPr>
          <w:p>
            <w:r>
              <w:rPr>
                <w:rFonts w:ascii="Calibri" w:hAnsi="Calibri"/>
                <w:sz w:val="22"/>
              </w:rPr>
              <w:t>Industrial Demand</w:t>
            </w:r>
          </w:p>
        </w:tc>
        <w:tc>
          <w:tcPr>
            <w:tcW w:type="dxa" w:w="2160"/>
          </w:tcPr>
          <w:p>
            <w:r>
              <w:rPr>
                <w:rFonts w:ascii="Calibri" w:hAnsi="Calibri"/>
                <w:sz w:val="22"/>
              </w:rPr>
              <w:t>Safety &amp; Industrial organic growth +8.2% in Q2; double-digit growth in electrical markets, industrial adhesives, abrasives, and industrial specialties. Broad-based growth across all 5 regions. China double-digit growth. Europe returned to growth (mid-single digits). Full-year organic growth raised from 3% to &gt;3.5%.</w:t>
            </w:r>
          </w:p>
        </w:tc>
        <w:tc>
          <w:tcPr>
            <w:tcW w:type="dxa" w:w="2160"/>
          </w:tcPr>
          <w:p>
            <w:r>
              <w:rPr>
                <w:rFonts w:ascii="Calibri" w:hAnsi="Calibri"/>
                <w:sz w:val="22"/>
              </w:rPr>
              <w:t>Broad-based industrial demand strength is a positive read-through for HON’s Industrial Automation (sensing/measurement) and Building Automation segments. European and China recovery is particularly relevant given HON’s geographic exposure.</w:t>
            </w:r>
          </w:p>
        </w:tc>
        <w:tc>
          <w:tcPr>
            <w:tcW w:type="dxa" w:w="2160"/>
          </w:tcPr>
          <w:p>
            <w:r>
              <w:rPr>
                <w:rFonts w:ascii="Calibri" w:hAnsi="Calibri"/>
                <w:b/>
                <w:color w:val="30A46C"/>
                <w:sz w:val="22"/>
              </w:rPr>
              <w:t>Positive</w:t>
            </w:r>
          </w:p>
        </w:tc>
      </w:tr>
      <w:tr>
        <w:tc>
          <w:tcPr>
            <w:tcW w:type="dxa" w:w="2160"/>
          </w:tcPr>
          <w:p>
            <w:r>
              <w:rPr>
                <w:rFonts w:ascii="Calibri" w:hAnsi="Calibri"/>
                <w:sz w:val="22"/>
              </w:rPr>
              <w:t>Data Center / Electronics</w:t>
            </w:r>
          </w:p>
        </w:tc>
        <w:tc>
          <w:tcPr>
            <w:tcW w:type="dxa" w:w="2160"/>
          </w:tcPr>
          <w:p>
            <w:r>
              <w:rPr>
                <w:rFonts w:ascii="Calibri" w:hAnsi="Calibri"/>
                <w:sz w:val="22"/>
              </w:rPr>
              <w:t>Semiconductor, aerospace, and data center segments (~20% of Transportation &amp; Electronics) grew double digits. Strategic partnership with Microsoft to deploy Expanded Beam Optics (EBO) in Azure data centers. EBO TAM ~$1B in 2026, growing to ~$2B by 2028. Orders +10% in Q2; backlog +20% YoY.</w:t>
            </w:r>
          </w:p>
        </w:tc>
        <w:tc>
          <w:tcPr>
            <w:tcW w:type="dxa" w:w="2160"/>
          </w:tcPr>
          <w:p>
            <w:r>
              <w:rPr>
                <w:rFonts w:ascii="Calibri" w:hAnsi="Calibri"/>
                <w:sz w:val="22"/>
              </w:rPr>
              <w:t>Directly positive for HON’s Building Automation data center vertical (now &gt;5% of BA sales). Strong data center demand and AI infrastructure build-out validates HON’s data center growth thesis and supports continued high-single-digit BA organic growth.</w:t>
            </w:r>
          </w:p>
        </w:tc>
        <w:tc>
          <w:tcPr>
            <w:tcW w:type="dxa" w:w="2160"/>
          </w:tcPr>
          <w:p>
            <w:r>
              <w:rPr>
                <w:rFonts w:ascii="Calibri" w:hAnsi="Calibri"/>
                <w:b/>
                <w:color w:val="30A46C"/>
                <w:sz w:val="22"/>
              </w:rPr>
              <w:t>Positive</w:t>
            </w:r>
          </w:p>
        </w:tc>
      </w:tr>
      <w:tr>
        <w:tc>
          <w:tcPr>
            <w:tcW w:type="dxa" w:w="2160"/>
          </w:tcPr>
          <w:p>
            <w:r>
              <w:rPr>
                <w:rFonts w:ascii="Calibri" w:hAnsi="Calibri"/>
                <w:sz w:val="22"/>
              </w:rPr>
              <w:t>Pricing</w:t>
            </w:r>
          </w:p>
        </w:tc>
        <w:tc>
          <w:tcPr>
            <w:tcW w:type="dxa" w:w="2160"/>
          </w:tcPr>
          <w:p>
            <w:r>
              <w:rPr>
                <w:rFonts w:ascii="Calibri" w:hAnsi="Calibri"/>
                <w:sz w:val="22"/>
              </w:rPr>
              <w:t>Q2 price realization +1.6%; full-year pricing expected ~1.5 pts (implying ~2 pts in H2). Oil inflation headwind of $150–$175M fully covered by price actions. Price/cost slightly positive overall.</w:t>
            </w:r>
          </w:p>
        </w:tc>
        <w:tc>
          <w:tcPr>
            <w:tcW w:type="dxa" w:w="2160"/>
          </w:tcPr>
          <w:p>
            <w:r>
              <w:rPr>
                <w:rFonts w:ascii="Calibri" w:hAnsi="Calibri"/>
                <w:sz w:val="22"/>
              </w:rPr>
              <w:t>Confirms pricing power is intact across industrials. HON has guided to ~4% pricing in Q2 and 3.5–4.5% in H2 — a significantly higher realization rate than 3M, suggesting HON’s pricing execution is above-average for the sector.</w:t>
            </w:r>
          </w:p>
        </w:tc>
        <w:tc>
          <w:tcPr>
            <w:tcW w:type="dxa" w:w="2160"/>
          </w:tcPr>
          <w:p>
            <w:r>
              <w:rPr>
                <w:rFonts w:ascii="Calibri" w:hAnsi="Calibri"/>
                <w:b/>
                <w:color w:val="30A46C"/>
                <w:sz w:val="22"/>
              </w:rPr>
              <w:t>Positive</w:t>
            </w:r>
          </w:p>
        </w:tc>
      </w:tr>
      <w:tr>
        <w:tc>
          <w:tcPr>
            <w:tcW w:type="dxa" w:w="2160"/>
          </w:tcPr>
          <w:p>
            <w:r>
              <w:rPr>
                <w:rFonts w:ascii="Calibri" w:hAnsi="Calibri"/>
                <w:sz w:val="22"/>
              </w:rPr>
              <w:t>Margins</w:t>
            </w:r>
          </w:p>
        </w:tc>
        <w:tc>
          <w:tcPr>
            <w:tcW w:type="dxa" w:w="2160"/>
          </w:tcPr>
          <w:p>
            <w:r>
              <w:rPr>
                <w:rFonts w:ascii="Calibri" w:hAnsi="Calibri"/>
                <w:sz w:val="22"/>
              </w:rPr>
              <w:t>Adjusted operating margin 24.9%, +40 bps YoY. Full-year margin expansion guidance of 70–80 bps. Gross margins tracking to mid-40s. Productivity solid: cost per quality improved 60 bps, OEE improved 140 bps. Stranded costs $150M for the year.</w:t>
            </w:r>
          </w:p>
        </w:tc>
        <w:tc>
          <w:tcPr>
            <w:tcW w:type="dxa" w:w="2160"/>
          </w:tcPr>
          <w:p>
            <w:r>
              <w:rPr>
                <w:rFonts w:ascii="Calibri" w:hAnsi="Calibri"/>
                <w:sz w:val="22"/>
              </w:rPr>
              <w:t>Margin expansion through productivity and pricing is achievable in the current industrial environment. HON’s more aggressive margin expansion target (220–270 bps for RemainCo) is supported by the stranded cost removal tailwind that 3M does not have.</w:t>
            </w:r>
          </w:p>
        </w:tc>
        <w:tc>
          <w:tcPr>
            <w:tcW w:type="dxa" w:w="2160"/>
          </w:tcPr>
          <w:p>
            <w:r>
              <w:rPr>
                <w:rFonts w:ascii="Calibri" w:hAnsi="Calibri"/>
                <w:b/>
                <w:color w:val="30A46C"/>
                <w:sz w:val="22"/>
              </w:rPr>
              <w:t>Positive</w:t>
            </w:r>
          </w:p>
        </w:tc>
      </w:tr>
      <w:tr>
        <w:tc>
          <w:tcPr>
            <w:tcW w:type="dxa" w:w="2160"/>
          </w:tcPr>
          <w:p>
            <w:r>
              <w:rPr>
                <w:rFonts w:ascii="Calibri" w:hAnsi="Calibri"/>
                <w:sz w:val="22"/>
              </w:rPr>
              <w:t>Watch Items</w:t>
            </w:r>
          </w:p>
        </w:tc>
        <w:tc>
          <w:tcPr>
            <w:tcW w:type="dxa" w:w="2160"/>
          </w:tcPr>
          <w:p>
            <w:r>
              <w:rPr>
                <w:rFonts w:ascii="Calibri" w:hAnsi="Calibri"/>
                <w:sz w:val="22"/>
              </w:rPr>
              <w:t>Consumer electronics expected down high-teens in H2 (memory shortages, high memory costs). Auto build rates expected down YoY in H2. Consumer channel destocking in late June (expected to normalize in Q3).</w:t>
            </w:r>
          </w:p>
        </w:tc>
        <w:tc>
          <w:tcPr>
            <w:tcW w:type="dxa" w:w="2160"/>
          </w:tcPr>
          <w:p>
            <w:r>
              <w:rPr>
                <w:rFonts w:ascii="Calibri" w:hAnsi="Calibri"/>
                <w:sz w:val="22"/>
              </w:rPr>
              <w:t>HON has minimal direct consumer electronics or auto OEM exposure. These headwinds are largely irrelevant to HON’s end market mix (process automation, building automation, defense, LNG).</w:t>
            </w:r>
          </w:p>
        </w:tc>
        <w:tc>
          <w:tcPr>
            <w:tcW w:type="dxa" w:w="2160"/>
          </w:tcPr>
          <w:p>
            <w:r>
              <w:rPr>
                <w:rFonts w:ascii="Calibri" w:hAnsi="Calibri"/>
                <w:b/>
                <w:color w:val="002FA7"/>
                <w:sz w:val="22"/>
              </w:rPr>
              <w:t>Neutral</w:t>
            </w:r>
          </w:p>
        </w:tc>
      </w:tr>
    </w:tbl>
    <w:p>
      <w:r>
        <w:rPr>
          <w:rFonts w:ascii="Calibri" w:hAnsi="Calibri"/>
          <w:i/>
          <w:color w:val="525866"/>
          <w:sz w:val="22"/>
        </w:rPr>
        <w:t>Source: 3M Q2 2026 Earnings Release and Earnings Call Transcript (July 21, 2026).</w:t>
      </w:r>
    </w:p>
    <w:p>
      <w:pPr>
        <w:pStyle w:val="Heading3"/>
      </w:pPr>
      <w:r>
        <w:rPr>
          <w:rFonts w:ascii="Calibri" w:hAnsi="Calibri"/>
          <w:b/>
          <w:color w:val="3B4259"/>
          <w:sz w:val="24"/>
        </w:rPr>
        <w:t>Rockwell Automation — Wells Fargo Industrials &amp; Materials Conference (June 11, 2026)</w:t>
      </w:r>
    </w:p>
    <w:p>
      <w:r>
        <w:rPr>
          <w:rFonts w:ascii="Calibri" w:hAnsi="Calibri"/>
          <w:b/>
          <w:color w:val="525866"/>
          <w:sz w:val="22"/>
        </w:rPr>
        <w:t xml:space="preserve">Relevance to HON: </w:t>
      </w:r>
      <w:r>
        <w:rPr>
          <w:rFonts w:ascii="Calibri" w:hAnsi="Calibri"/>
          <w:color w:val="525866"/>
          <w:sz w:val="22"/>
        </w:rPr>
        <w:t>Rockwell Automation is the most direct peer for HON’s Industrial Automation and Building Automation segments, with overlapping exposure to data centers, energy, semiconductor fabs, and industrial controls.</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Rockwell Commentary (June 11, 2026)</w:t>
            </w:r>
          </w:p>
        </w:tc>
        <w:tc>
          <w:tcPr>
            <w:tcW w:type="dxa" w:w="2160"/>
            <w:shd w:val="clear" w:color="auto" w:fill="3B4259"/>
          </w:tcPr>
          <w:p>
            <w:r>
              <w:rPr>
                <w:rFonts w:ascii="Calibri" w:hAnsi="Calibri"/>
                <w:b/>
                <w:color w:val="FFFFFF"/>
                <w:sz w:val="22"/>
              </w:rPr>
              <w:t>HON Read-Through</w:t>
            </w:r>
          </w:p>
        </w:tc>
        <w:tc>
          <w:tcPr>
            <w:tcW w:type="dxa" w:w="2160"/>
            <w:shd w:val="clear" w:color="auto" w:fill="3B4259"/>
          </w:tcPr>
          <w:p>
            <w:r>
              <w:rPr>
                <w:rFonts w:ascii="Calibri" w:hAnsi="Calibri"/>
                <w:b/>
                <w:color w:val="FFFFFF"/>
                <w:sz w:val="22"/>
              </w:rPr>
              <w:t>Signal</w:t>
            </w:r>
          </w:p>
        </w:tc>
      </w:tr>
      <w:tr>
        <w:tc>
          <w:tcPr>
            <w:tcW w:type="dxa" w:w="2160"/>
          </w:tcPr>
          <w:p>
            <w:r>
              <w:rPr>
                <w:rFonts w:ascii="Calibri" w:hAnsi="Calibri"/>
                <w:sz w:val="22"/>
              </w:rPr>
              <w:t>Demand / Orders (Q2 2026)</w:t>
            </w:r>
          </w:p>
        </w:tc>
        <w:tc>
          <w:tcPr>
            <w:tcW w:type="dxa" w:w="2160"/>
          </w:tcPr>
          <w:p>
            <w:r>
              <w:rPr>
                <w:rFonts w:ascii="Calibri" w:hAnsi="Calibri"/>
                <w:sz w:val="22"/>
              </w:rPr>
              <w:t>Q2 saw broadening demand and larger projects in semiconductor, data center, e-commerce/warehouse automation, and energy. Full-year guide raised to 7% organic growth. Energy end market raised to high-single-digit growth for the year. Software &amp; Control expected to grow low double digits for the full year (fastest-growing segment).</w:t>
            </w:r>
          </w:p>
        </w:tc>
        <w:tc>
          <w:tcPr>
            <w:tcW w:type="dxa" w:w="2160"/>
          </w:tcPr>
          <w:p>
            <w:r>
              <w:rPr>
                <w:rFonts w:ascii="Calibri" w:hAnsi="Calibri"/>
                <w:sz w:val="22"/>
              </w:rPr>
              <w:t>Directly positive for HON’s Building Automation (data center, energy) and Industrial Automation (sensing/measurement in energy and semiconductor). Broadening demand and larger projects suggest customers are gaining confidence in longer-cycle investments.</w:t>
            </w:r>
          </w:p>
        </w:tc>
        <w:tc>
          <w:tcPr>
            <w:tcW w:type="dxa" w:w="2160"/>
          </w:tcPr>
          <w:p>
            <w:r>
              <w:rPr>
                <w:rFonts w:ascii="Calibri" w:hAnsi="Calibri"/>
                <w:b/>
                <w:color w:val="30A46C"/>
                <w:sz w:val="22"/>
              </w:rPr>
              <w:t>Positive</w:t>
            </w:r>
          </w:p>
        </w:tc>
      </w:tr>
      <w:tr>
        <w:tc>
          <w:tcPr>
            <w:tcW w:type="dxa" w:w="2160"/>
          </w:tcPr>
          <w:p>
            <w:r>
              <w:rPr>
                <w:rFonts w:ascii="Calibri" w:hAnsi="Calibri"/>
                <w:sz w:val="22"/>
              </w:rPr>
              <w:t>Data Center</w:t>
            </w:r>
          </w:p>
        </w:tc>
        <w:tc>
          <w:tcPr>
            <w:tcW w:type="dxa" w:w="2160"/>
          </w:tcPr>
          <w:p>
            <w:r>
              <w:rPr>
                <w:rFonts w:ascii="Calibri" w:hAnsi="Calibri"/>
                <w:sz w:val="22"/>
              </w:rPr>
              <w:t>Durable demand in data centers driven by greenfield builds and AI workloads. Hyperscalers increasingly adopting industrial logic platforms (Logix) over traditional DDC controls for 99.999% availability, cybersecurity, and real-time performance. Data center revenue expected to grow from low-single-digit % to ~5% of revenue.</w:t>
            </w:r>
          </w:p>
        </w:tc>
        <w:tc>
          <w:tcPr>
            <w:tcW w:type="dxa" w:w="2160"/>
          </w:tcPr>
          <w:p>
            <w:r>
              <w:rPr>
                <w:rFonts w:ascii="Calibri" w:hAnsi="Calibri"/>
                <w:sz w:val="22"/>
              </w:rPr>
              <w:t>Validates HON’s data center thesis in Building Automation. The shift from DDC to industrial controls is a direct tailwind for HON’s Forge platform and building management systems. HON’s data center exposure already above 5% of BA sales per June 11 Investor Day.</w:t>
            </w:r>
          </w:p>
        </w:tc>
        <w:tc>
          <w:tcPr>
            <w:tcW w:type="dxa" w:w="2160"/>
          </w:tcPr>
          <w:p>
            <w:r>
              <w:rPr>
                <w:rFonts w:ascii="Calibri" w:hAnsi="Calibri"/>
                <w:b/>
                <w:color w:val="30A46C"/>
                <w:sz w:val="22"/>
              </w:rPr>
              <w:t>Positive</w:t>
            </w:r>
          </w:p>
        </w:tc>
      </w:tr>
      <w:tr>
        <w:tc>
          <w:tcPr>
            <w:tcW w:type="dxa" w:w="2160"/>
          </w:tcPr>
          <w:p>
            <w:r>
              <w:rPr>
                <w:rFonts w:ascii="Calibri" w:hAnsi="Calibri"/>
                <w:sz w:val="22"/>
              </w:rPr>
              <w:t>AI as Automation Tailwind</w:t>
            </w:r>
          </w:p>
        </w:tc>
        <w:tc>
          <w:tcPr>
            <w:tcW w:type="dxa" w:w="2160"/>
          </w:tcPr>
          <w:p>
            <w:r>
              <w:rPr>
                <w:rFonts w:ascii="Calibri" w:hAnsi="Calibri"/>
                <w:sz w:val="22"/>
              </w:rPr>
              <w:t>“AI is a tremendous opportunity to do many things across the stack of an automation system. The biggest opportunity is simplifying what it takes for people to consume automation.” AI expected to be a “significant propellant of more automation demand across the industry.”</w:t>
            </w:r>
          </w:p>
        </w:tc>
        <w:tc>
          <w:tcPr>
            <w:tcW w:type="dxa" w:w="2160"/>
          </w:tcPr>
          <w:p>
            <w:r>
              <w:rPr>
                <w:rFonts w:ascii="Calibri" w:hAnsi="Calibri"/>
                <w:sz w:val="22"/>
              </w:rPr>
              <w:t>Directly supports HON’s Forge AI platform strategy and software ARR growth thesis. AI-driven automation demand is a secular tailwind for HON’s entire RemainCo portfolio.</w:t>
            </w:r>
          </w:p>
        </w:tc>
        <w:tc>
          <w:tcPr>
            <w:tcW w:type="dxa" w:w="2160"/>
          </w:tcPr>
          <w:p>
            <w:r>
              <w:rPr>
                <w:rFonts w:ascii="Calibri" w:hAnsi="Calibri"/>
                <w:b/>
                <w:color w:val="30A46C"/>
                <w:sz w:val="22"/>
              </w:rPr>
              <w:t>Positive</w:t>
            </w:r>
          </w:p>
        </w:tc>
      </w:tr>
      <w:tr>
        <w:tc>
          <w:tcPr>
            <w:tcW w:type="dxa" w:w="2160"/>
          </w:tcPr>
          <w:p>
            <w:r>
              <w:rPr>
                <w:rFonts w:ascii="Calibri" w:hAnsi="Calibri"/>
                <w:sz w:val="22"/>
              </w:rPr>
              <w:t>Middle East</w:t>
            </w:r>
          </w:p>
        </w:tc>
        <w:tc>
          <w:tcPr>
            <w:tcW w:type="dxa" w:w="2160"/>
          </w:tcPr>
          <w:p>
            <w:r>
              <w:rPr>
                <w:rFonts w:ascii="Calibri" w:hAnsi="Calibri"/>
                <w:sz w:val="22"/>
              </w:rPr>
              <w:t>Rockwell’s Middle East exposure is “very limited” and now even smaller following JV dissolution. Recovery and rebuilding opportunities are longer-cycle, most likely impacting fiscal 2027 and beyond.</w:t>
            </w:r>
          </w:p>
        </w:tc>
        <w:tc>
          <w:tcPr>
            <w:tcW w:type="dxa" w:w="2160"/>
          </w:tcPr>
          <w:p>
            <w:r>
              <w:rPr>
                <w:rFonts w:ascii="Calibri" w:hAnsi="Calibri"/>
                <w:sz w:val="22"/>
              </w:rPr>
              <w:t>Confirms that Middle East disruption is primarily a HON-specific issue (given HON’s large PA&amp;T exposure to the region). Rockwell’s limited exposure means the read-through is neutral; HON’s own commentary (ME impact now $50–75M vs. ~$95M guided) is the more relevant data point.</w:t>
            </w:r>
          </w:p>
        </w:tc>
        <w:tc>
          <w:tcPr>
            <w:tcW w:type="dxa" w:w="2160"/>
          </w:tcPr>
          <w:p>
            <w:r>
              <w:rPr>
                <w:rFonts w:ascii="Calibri" w:hAnsi="Calibri"/>
                <w:b/>
                <w:color w:val="002FA7"/>
                <w:sz w:val="22"/>
              </w:rPr>
              <w:t>Neutral</w:t>
            </w:r>
          </w:p>
        </w:tc>
      </w:tr>
      <w:tr>
        <w:tc>
          <w:tcPr>
            <w:tcW w:type="dxa" w:w="2160"/>
          </w:tcPr>
          <w:p>
            <w:r>
              <w:rPr>
                <w:rFonts w:ascii="Calibri" w:hAnsi="Calibri"/>
                <w:sz w:val="22"/>
              </w:rPr>
              <w:t>Pricing</w:t>
            </w:r>
          </w:p>
        </w:tc>
        <w:tc>
          <w:tcPr>
            <w:tcW w:type="dxa" w:w="2160"/>
          </w:tcPr>
          <w:p>
            <w:r>
              <w:rPr>
                <w:rFonts w:ascii="Calibri" w:hAnsi="Calibri"/>
                <w:sz w:val="22"/>
              </w:rPr>
              <w:t>Guiding to 250 bps of price in FY26 (100 bps tariff-related, 150 bps underlying). Memory chip costs creating double-digit millions of headwind in H2; price actions implemented but timing mismatch expected in Q3. Q2 Software &amp; Control margins reached 35%; Q3 expected sequentially lower.</w:t>
            </w:r>
          </w:p>
        </w:tc>
        <w:tc>
          <w:tcPr>
            <w:tcW w:type="dxa" w:w="2160"/>
          </w:tcPr>
          <w:p>
            <w:r>
              <w:rPr>
                <w:rFonts w:ascii="Calibri" w:hAnsi="Calibri"/>
                <w:sz w:val="22"/>
              </w:rPr>
              <w:t>HON’s ~4% pricing guidance is well above Rockwell’s 2.5%, suggesting HON has stronger pricing power in its end markets. Memory chip cost inflation is a modest headwind for HON’s automation controls businesses but manageable given HON’s pricing trajectory.</w:t>
            </w:r>
          </w:p>
        </w:tc>
        <w:tc>
          <w:tcPr>
            <w:tcW w:type="dxa" w:w="2160"/>
          </w:tcPr>
          <w:p>
            <w:r>
              <w:rPr>
                <w:rFonts w:ascii="Calibri" w:hAnsi="Calibri"/>
                <w:b/>
                <w:color w:val="002FA7"/>
                <w:sz w:val="22"/>
              </w:rPr>
              <w:t>Mixed</w:t>
            </w:r>
          </w:p>
        </w:tc>
      </w:tr>
      <w:tr>
        <w:tc>
          <w:tcPr>
            <w:tcW w:type="dxa" w:w="2160"/>
          </w:tcPr>
          <w:p>
            <w:r>
              <w:rPr>
                <w:rFonts w:ascii="Calibri" w:hAnsi="Calibri"/>
                <w:sz w:val="22"/>
              </w:rPr>
              <w:t>Large CapEx Projects</w:t>
            </w:r>
          </w:p>
        </w:tc>
        <w:tc>
          <w:tcPr>
            <w:tcW w:type="dxa" w:w="2160"/>
          </w:tcPr>
          <w:p>
            <w:r>
              <w:rPr>
                <w:rFonts w:ascii="Calibri" w:hAnsi="Calibri"/>
                <w:sz w:val="22"/>
              </w:rPr>
              <w:t>Customers holding off on larger, longer-ranging CapEx projects due to persistent trade uncertainty, policy changes, and geopolitical volatility. Smaller modernization projects (efficiency, productivity) remain strong.</w:t>
            </w:r>
          </w:p>
        </w:tc>
        <w:tc>
          <w:tcPr>
            <w:tcW w:type="dxa" w:w="2160"/>
          </w:tcPr>
          <w:p>
            <w:r>
              <w:rPr>
                <w:rFonts w:ascii="Calibri" w:hAnsi="Calibri"/>
                <w:sz w:val="22"/>
              </w:rPr>
              <w:t>A modest caution for HON’s longer-cycle PA&amp;T project business. However, HON’s PA&amp;T backlog is already booked (book-to-bill &gt;1.2x for several quarters), so near-term revenue is backlog-driven rather than dependent on new large project awards.</w:t>
            </w:r>
          </w:p>
        </w:tc>
        <w:tc>
          <w:tcPr>
            <w:tcW w:type="dxa" w:w="2160"/>
          </w:tcPr>
          <w:p>
            <w:r>
              <w:rPr>
                <w:rFonts w:ascii="Calibri" w:hAnsi="Calibri"/>
                <w:b/>
                <w:color w:val="002FA7"/>
                <w:sz w:val="22"/>
              </w:rPr>
              <w:t>Mixed</w:t>
            </w:r>
          </w:p>
        </w:tc>
      </w:tr>
    </w:tbl>
    <w:p>
      <w:r>
        <w:rPr>
          <w:rFonts w:ascii="Calibri" w:hAnsi="Calibri"/>
          <w:i/>
          <w:color w:val="525866"/>
          <w:sz w:val="22"/>
        </w:rPr>
        <w:t>Source: Rockwell Automation, Wells Fargo Industrials &amp; Materials Conference Transcript (June 11, 2026).</w:t>
      </w:r>
    </w:p>
    <w:p>
      <w:pPr>
        <w:pStyle w:val="Heading3"/>
      </w:pPr>
      <w:r>
        <w:rPr>
          <w:rFonts w:ascii="Calibri" w:hAnsi="Calibri"/>
          <w:b/>
          <w:color w:val="3B4259"/>
          <w:sz w:val="24"/>
        </w:rPr>
        <w:t>Peer Read-Through Summary</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HON Segment</w:t>
            </w:r>
          </w:p>
        </w:tc>
        <w:tc>
          <w:tcPr>
            <w:tcW w:type="dxa" w:w="2160"/>
            <w:shd w:val="clear" w:color="auto" w:fill="3B4259"/>
          </w:tcPr>
          <w:p>
            <w:r>
              <w:rPr>
                <w:rFonts w:ascii="Calibri" w:hAnsi="Calibri"/>
                <w:b/>
                <w:color w:val="FFFFFF"/>
                <w:sz w:val="22"/>
              </w:rPr>
              <w:t>Key Peer Signal</w:t>
            </w:r>
          </w:p>
        </w:tc>
        <w:tc>
          <w:tcPr>
            <w:tcW w:type="dxa" w:w="2160"/>
            <w:shd w:val="clear" w:color="auto" w:fill="3B4259"/>
          </w:tcPr>
          <w:p>
            <w:r>
              <w:rPr>
                <w:rFonts w:ascii="Calibri" w:hAnsi="Calibri"/>
                <w:b/>
                <w:color w:val="FFFFFF"/>
                <w:sz w:val="22"/>
              </w:rPr>
              <w:t>Source</w:t>
            </w:r>
          </w:p>
        </w:tc>
        <w:tc>
          <w:tcPr>
            <w:tcW w:type="dxa" w:w="2160"/>
            <w:shd w:val="clear" w:color="auto" w:fill="3B4259"/>
          </w:tcPr>
          <w:p>
            <w:r>
              <w:rPr>
                <w:rFonts w:ascii="Calibri" w:hAnsi="Calibri"/>
                <w:b/>
                <w:color w:val="FFFFFF"/>
                <w:sz w:val="22"/>
              </w:rPr>
              <w:t>Overall Signal</w:t>
            </w:r>
          </w:p>
        </w:tc>
      </w:tr>
      <w:tr>
        <w:tc>
          <w:tcPr>
            <w:tcW w:type="dxa" w:w="2160"/>
          </w:tcPr>
          <w:p>
            <w:r>
              <w:rPr>
                <w:rFonts w:ascii="Calibri" w:hAnsi="Calibri"/>
                <w:sz w:val="22"/>
              </w:rPr>
              <w:t>Building Automation</w:t>
            </w:r>
          </w:p>
        </w:tc>
        <w:tc>
          <w:tcPr>
            <w:tcW w:type="dxa" w:w="2160"/>
          </w:tcPr>
          <w:p>
            <w:r>
              <w:rPr>
                <w:rFonts w:ascii="Calibri" w:hAnsi="Calibri"/>
                <w:sz w:val="22"/>
              </w:rPr>
              <w:t>Data center demand durable and broadening (ROK, MMM); industrial controls displacing DDC in hyperscaler facilities (ROK); AI infrastructure build-out accelerating (MMM/Microsoft EBO partnership)</w:t>
            </w:r>
          </w:p>
        </w:tc>
        <w:tc>
          <w:tcPr>
            <w:tcW w:type="dxa" w:w="2160"/>
          </w:tcPr>
          <w:p>
            <w:r>
              <w:rPr>
                <w:rFonts w:ascii="Calibri" w:hAnsi="Calibri"/>
                <w:sz w:val="22"/>
              </w:rPr>
              <w:t>ROK (Jun 11), MMM (Jul 21)</w:t>
            </w:r>
          </w:p>
        </w:tc>
        <w:tc>
          <w:tcPr>
            <w:tcW w:type="dxa" w:w="2160"/>
          </w:tcPr>
          <w:p>
            <w:r>
              <w:rPr>
                <w:rFonts w:ascii="Calibri" w:hAnsi="Calibri"/>
                <w:b/>
                <w:color w:val="30A46C"/>
                <w:sz w:val="22"/>
              </w:rPr>
              <w:t>Positive</w:t>
            </w:r>
          </w:p>
        </w:tc>
      </w:tr>
      <w:tr>
        <w:tc>
          <w:tcPr>
            <w:tcW w:type="dxa" w:w="2160"/>
          </w:tcPr>
          <w:p>
            <w:r>
              <w:rPr>
                <w:rFonts w:ascii="Calibri" w:hAnsi="Calibri"/>
                <w:sz w:val="22"/>
              </w:rPr>
              <w:t>Industrial Automation</w:t>
            </w:r>
          </w:p>
        </w:tc>
        <w:tc>
          <w:tcPr>
            <w:tcW w:type="dxa" w:w="2160"/>
          </w:tcPr>
          <w:p>
            <w:r>
              <w:rPr>
                <w:rFonts w:ascii="Calibri" w:hAnsi="Calibri"/>
                <w:sz w:val="22"/>
              </w:rPr>
              <w:t>Broad-based industrial demand recovery; Europe and China returning to growth (MMM, ROK); energy end market raised to high-single-digit growth (ROK); AI as secular automation tailwind (ROK)</w:t>
            </w:r>
          </w:p>
        </w:tc>
        <w:tc>
          <w:tcPr>
            <w:tcW w:type="dxa" w:w="2160"/>
          </w:tcPr>
          <w:p>
            <w:r>
              <w:rPr>
                <w:rFonts w:ascii="Calibri" w:hAnsi="Calibri"/>
                <w:sz w:val="22"/>
              </w:rPr>
              <w:t>ROK (Jun 11), MMM (Jul 21)</w:t>
            </w:r>
          </w:p>
        </w:tc>
        <w:tc>
          <w:tcPr>
            <w:tcW w:type="dxa" w:w="2160"/>
          </w:tcPr>
          <w:p>
            <w:r>
              <w:rPr>
                <w:rFonts w:ascii="Calibri" w:hAnsi="Calibri"/>
                <w:b/>
                <w:color w:val="30A46C"/>
                <w:sz w:val="22"/>
              </w:rPr>
              <w:t>Positive</w:t>
            </w:r>
          </w:p>
        </w:tc>
      </w:tr>
      <w:tr>
        <w:tc>
          <w:tcPr>
            <w:tcW w:type="dxa" w:w="2160"/>
          </w:tcPr>
          <w:p>
            <w:r>
              <w:rPr>
                <w:rFonts w:ascii="Calibri" w:hAnsi="Calibri"/>
                <w:sz w:val="22"/>
              </w:rPr>
              <w:t>Process Automation &amp; Technology</w:t>
            </w:r>
          </w:p>
        </w:tc>
        <w:tc>
          <w:tcPr>
            <w:tcW w:type="dxa" w:w="2160"/>
          </w:tcPr>
          <w:p>
            <w:r>
              <w:rPr>
                <w:rFonts w:ascii="Calibri" w:hAnsi="Calibri"/>
                <w:sz w:val="22"/>
              </w:rPr>
              <w:t>Energy end market healthy (ROK high-single-digit growth); LNG and process industry demand intact; Middle East recovery longer-cycle per ROK (fiscal 27+), but HON’s own data shows Q2 ME impact well below guide</w:t>
            </w:r>
          </w:p>
        </w:tc>
        <w:tc>
          <w:tcPr>
            <w:tcW w:type="dxa" w:w="2160"/>
          </w:tcPr>
          <w:p>
            <w:r>
              <w:rPr>
                <w:rFonts w:ascii="Calibri" w:hAnsi="Calibri"/>
                <w:sz w:val="22"/>
              </w:rPr>
              <w:t>ROK (Jun 11)</w:t>
            </w:r>
          </w:p>
        </w:tc>
        <w:tc>
          <w:tcPr>
            <w:tcW w:type="dxa" w:w="2160"/>
          </w:tcPr>
          <w:p>
            <w:r>
              <w:rPr>
                <w:rFonts w:ascii="Calibri" w:hAnsi="Calibri"/>
                <w:b/>
                <w:color w:val="002FA7"/>
                <w:sz w:val="22"/>
              </w:rPr>
              <w:t>Mixed</w:t>
            </w:r>
          </w:p>
        </w:tc>
      </w:tr>
      <w:tr>
        <w:tc>
          <w:tcPr>
            <w:tcW w:type="dxa" w:w="2160"/>
          </w:tcPr>
          <w:p>
            <w:r>
              <w:rPr>
                <w:rFonts w:ascii="Calibri" w:hAnsi="Calibri"/>
                <w:sz w:val="22"/>
              </w:rPr>
              <w:t>Aerospace (HONR — spun off)</w:t>
            </w:r>
          </w:p>
        </w:tc>
        <w:tc>
          <w:tcPr>
            <w:tcW w:type="dxa" w:w="2160"/>
          </w:tcPr>
          <w:p>
            <w:r>
              <w:rPr>
                <w:rFonts w:ascii="Calibri" w:hAnsi="Calibri"/>
                <w:sz w:val="22"/>
              </w:rPr>
              <w:t>GE Aerospace raised FY guidance across all metrics; demand robust with no demand problem; aftermarket services +32% in H1; defense orders +12%; supply chain improving but still the binding constraint</w:t>
            </w:r>
          </w:p>
        </w:tc>
        <w:tc>
          <w:tcPr>
            <w:tcW w:type="dxa" w:w="2160"/>
          </w:tcPr>
          <w:p>
            <w:r>
              <w:rPr>
                <w:rFonts w:ascii="Calibri" w:hAnsi="Calibri"/>
                <w:sz w:val="22"/>
              </w:rPr>
              <w:t>GE (Jul 16)</w:t>
            </w:r>
          </w:p>
        </w:tc>
        <w:tc>
          <w:tcPr>
            <w:tcW w:type="dxa" w:w="2160"/>
          </w:tcPr>
          <w:p>
            <w:r>
              <w:rPr>
                <w:rFonts w:ascii="Calibri" w:hAnsi="Calibri"/>
                <w:b/>
                <w:color w:val="30A46C"/>
                <w:sz w:val="22"/>
              </w:rPr>
              <w:t>Positive</w:t>
            </w:r>
          </w:p>
        </w:tc>
      </w:tr>
      <w:tr>
        <w:tc>
          <w:tcPr>
            <w:tcW w:type="dxa" w:w="2160"/>
          </w:tcPr>
          <w:p>
            <w:r>
              <w:rPr>
                <w:rFonts w:ascii="Calibri" w:hAnsi="Calibri"/>
                <w:sz w:val="22"/>
              </w:rPr>
              <w:t>Pricing / Margins</w:t>
            </w:r>
          </w:p>
        </w:tc>
        <w:tc>
          <w:tcPr>
            <w:tcW w:type="dxa" w:w="2160"/>
          </w:tcPr>
          <w:p>
            <w:r>
              <w:rPr>
                <w:rFonts w:ascii="Calibri" w:hAnsi="Calibri"/>
                <w:sz w:val="22"/>
              </w:rPr>
              <w:t>Pricing power intact across industrials (MMM +1.6%, ROK +2.5%, HON guiding ~4%); margin expansion achievable through productivity and pricing (MMM +40 bps, ROK Software &amp; Control 35%); memory chip cost inflation a modest headwind (ROK)</w:t>
            </w:r>
          </w:p>
        </w:tc>
        <w:tc>
          <w:tcPr>
            <w:tcW w:type="dxa" w:w="2160"/>
          </w:tcPr>
          <w:p>
            <w:r>
              <w:rPr>
                <w:rFonts w:ascii="Calibri" w:hAnsi="Calibri"/>
                <w:sz w:val="22"/>
              </w:rPr>
              <w:t>MMM (Jul 21), ROK (Jun 11)</w:t>
            </w:r>
          </w:p>
        </w:tc>
        <w:tc>
          <w:tcPr>
            <w:tcW w:type="dxa" w:w="2160"/>
          </w:tcPr>
          <w:p>
            <w:r>
              <w:rPr>
                <w:rFonts w:ascii="Calibri" w:hAnsi="Calibri"/>
                <w:b/>
                <w:color w:val="30A46C"/>
                <w:sz w:val="22"/>
              </w:rPr>
              <w:t>Positive</w:t>
            </w:r>
          </w:p>
        </w:tc>
      </w:tr>
    </w:tbl>
    <w:p>
      <w:r>
        <w:rPr>
          <w:rFonts w:ascii="Calibri" w:hAnsi="Calibri"/>
          <w:b/>
          <w:color w:val="525866"/>
          <w:sz w:val="22"/>
        </w:rPr>
        <w:t xml:space="preserve">Overall peer read-through assessment: </w:t>
      </w:r>
      <w:r>
        <w:rPr>
          <w:rFonts w:ascii="Calibri" w:hAnsi="Calibri"/>
          <w:color w:val="525866"/>
          <w:sz w:val="22"/>
        </w:rPr>
        <w:t xml:space="preserve">The peer commentary from GE Aerospace, 3M, and Rockwell Automation is </w:t>
      </w:r>
      <w:r>
        <w:rPr>
          <w:rFonts w:ascii="Calibri" w:hAnsi="Calibri"/>
          <w:b/>
          <w:color w:val="525866"/>
          <w:sz w:val="22"/>
        </w:rPr>
        <w:t>broadly constructive for HON’s Q2 2026 setup</w:t>
      </w:r>
      <w:r>
        <w:rPr>
          <w:rFonts w:ascii="Calibri" w:hAnsi="Calibri"/>
          <w:color w:val="525866"/>
          <w:sz w:val="22"/>
        </w:rPr>
        <w:t>. The aerospace market is healthy and improving, industrial automation end markets are broadening with Europe and China recovering, data center demand is durable and accelerating, and pricing power is intact. The primary risks flagged by peers — supply-side constraints in aerospace and memory chip cost inflation in automation — are manageable and consistent with HON’s own guidance. The Middle East recovery timeline (longer-cycle per Rockwell) is the one area of caution, but HON’s own June 8 update already indicated the Q2 impact is tracking well below the guided range, suggesting the worst is behind them.</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