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985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950M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Commission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530M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/ NII trajectory (rate-cut sensitivity)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NIM ~1.82% vs. cons ~1.88%; -$80M annualized NII per 25bp USD cut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Pretax margin (ad/marketing ramp)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pretax margin ~74% vs. cons ~76%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dividend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div ~$0.0875 vs. cons $0.0875 (2Q26)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Q2 operating strength is already public via monthly metrics and was largely priced in the July 1 jump and the run to all-time highs (~</w:t>
            </w:r>
            <m:oMath>
              <m:r>
                <m:t>97</m:t>
              </m:r>
              <m:r>
                <m:t>b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e</m:t>
              </m:r>
              <m:r>
                <m:t>e</m:t>
              </m:r>
              <m:r>
                <m:t>a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91.70), so a well-telegraphed double-beat is a classic sell-the-news setup. The bigger swing factor — NII — faces out-period headwinds: NIM compression (1.88%→~1.82%) plus management's own sensitivity (~-$80M annualized NII per 25bp USD cut) means a dovish Fed path pulls 2H26/FY27 NII and EPS estimates down even after a Q2 beat, while softening commission-per-order and a marketing-spend margin drag reduce beat quality. Against a rich near-highs valuation, that biases the initial dip to follow through lower rather than recover.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2026-07-21T01:42:59Z</dcterms:created>
  <dcterms:modified xsi:type="dcterms:W3CDTF">2026-07-21T01:42:59Z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