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IBKR before writing the preview. Let me gather recent earnings materials, metrics, and news.Let me read the most recent quarter's release and transcript, plus check for recent news and monthly metrics.Now let me get the year-ago Q2 comparison, monthly metrics press releases, recent news, and the stock price trend.Let me look for IBKR's monthly brokerage metrics for Q2 (Apr–Jun 2026) and any recent analyst/news coverage.Let me search the web for IBKR's Q2 2026 monthly metrics and analyst expectations.I have May 2026 metrics. Let me get April and June 2026 monthly metrics.Let me pull analyst consensus estimates and any recent price-target/analyst commentary.I have what I need. Here's the earnings preview.</w:t>
      </w:r>
    </w:p>
    <w:p>
      <w:r>
        <w:pict>
          <v:rect style="width:0;height:1.5pt" o:hralign="center" o:hrstd="t" o:hr="t"/>
        </w:pict>
      </w:r>
    </w:p>
    <w:bookmarkStart w:id="17" w:name="X181ba979c5402860d3fe9c1be68585ff6370f02"/>
    <w:p>
      <w:pPr>
        <w:pStyle w:val="Heading1"/>
      </w:pPr>
      <w:r>
        <w:t xml:space="preserve">Interactive Brokers (IBKR) — Q2 2026 Earnings Preview</w:t>
      </w:r>
    </w:p>
    <w:p>
      <w:pPr>
        <w:pStyle w:val="FirstParagraph"/>
      </w:pPr>
      <w:r>
        <w:rPr>
          <w:b/>
          <w:bCs/>
        </w:rPr>
        <w:t xml:space="preserve">Report date:</w:t>
      </w:r>
      <w:r>
        <w:t xml:space="preserve"> </w:t>
      </w:r>
      <w:r>
        <w:t xml:space="preserve">After market close, Tuesday, July 21, 2026 · Conference call 4:30 p.m. ET</w:t>
      </w:r>
      <w:r>
        <w:t xml:space="preserve"> </w:t>
      </w:r>
      <w:r>
        <w:rPr>
          <w:b/>
          <w:bCs/>
        </w:rPr>
        <w:t xml:space="preserve">Quarter:</w:t>
      </w:r>
      <w:r>
        <w:t xml:space="preserve"> </w:t>
      </w:r>
      <w:r>
        <w:t xml:space="preserve">2Q2026 (three months ended June 30, 2026)</w:t>
      </w:r>
    </w:p>
    <w:p>
      <w:r>
        <w:pict>
          <v:rect style="width:0;height:1.5pt" o:hralign="center" o:hrstd="t" o:hr="t"/>
        </w:pict>
      </w:r>
    </w:p>
    <w:bookmarkStart w:id="9" w:name="X85e66a695172cdf7d6ed13faf9d3104d661eaf1"/>
    <w:p>
      <w:pPr>
        <w:pStyle w:val="Heading2"/>
      </w:pPr>
      <w:r>
        <w:t xml:space="preserve">1. The one-sentence setup</w:t>
      </w:r>
    </w:p>
    <w:p>
      <w:pPr>
        <w:pStyle w:val="FirstParagraph"/>
      </w:pPr>
      <w:r>
        <w:t xml:space="preserve">IBKR heads into this print with an unusually clear tailwind: its own monthly metrics have already telegraphed a very strong quarter (accelerating trade volumes, record balances), the stock is near all-time highs, and expectations have been ratcheting up — so the bar is high and the debate shifts from "did the quarter grow?" to "is it good enough to justify the re-rating, and what happens to net interest income if the Fed cuts?"</w:t>
      </w:r>
    </w:p>
    <w:p>
      <w:r>
        <w:pict>
          <v:rect style="width:0;height:1.5pt" o:hralign="center" o:hrstd="t" o:hr="t"/>
        </w:pict>
      </w:r>
    </w:p>
    <w:bookmarkEnd w:id="9"/>
    <w:bookmarkStart w:id="10" w:name="X07034c3b35d37eba1c6d5cb41fa8675be0f21ec"/>
    <w:p>
      <w:pPr>
        <w:pStyle w:val="Heading2"/>
      </w:pPr>
      <w:r>
        <w:t xml:space="preserve">2. What the Street expects</w:t>
      </w:r>
    </w:p>
    <w:p>
      <w:pPr>
        <w:pStyle w:val="Compact"/>
        <w:numPr>
          <w:ilvl w:val="0"/>
          <w:numId w:val="1001"/>
        </w:numPr>
      </w:pPr>
      <w:r>
        <w:rPr>
          <w:b/>
          <w:bCs/>
        </w:rPr>
        <w:t xml:space="preserve">Revenue:</w:t>
      </w:r>
      <w:r>
        <w:t xml:space="preserve"> </w:t>
      </w:r>
      <w:r>
        <w:t xml:space="preserve">consensus ≈</w:t>
      </w:r>
      <w:r>
        <w:t xml:space="preserve"> </w:t>
      </w:r>
      <w:r>
        <w:rPr>
          <w:b/>
          <w:bCs/>
        </w:rPr>
        <w:t xml:space="preserve">$1.66 billion</w:t>
      </w:r>
      <w:r>
        <w:t xml:space="preserve">, up ~12% YoY (vs. $1.48B in 2Q2025).</w:t>
      </w:r>
    </w:p>
    <w:p>
      <w:pPr>
        <w:pStyle w:val="Compact"/>
        <w:numPr>
          <w:ilvl w:val="0"/>
          <w:numId w:val="1001"/>
        </w:numPr>
      </w:pPr>
      <w:r>
        <w:rPr>
          <w:b/>
          <w:bCs/>
        </w:rPr>
        <w:t xml:space="preserve">Adjusted EPS:</w:t>
      </w:r>
      <w:r>
        <w:t xml:space="preserve"> </w:t>
      </w:r>
      <w:r>
        <w:t xml:space="preserve">estimates cluster in the</w:t>
      </w:r>
      <w:r>
        <w:t xml:space="preserve"> </w:t>
      </w:r>
      <m:oMath>
        <m:r>
          <m:t>0.58</m:t>
        </m:r>
        <m:r>
          <m:rPr>
            <m:sty m:val="p"/>
          </m:rPr>
          <m:t>–</m:t>
        </m:r>
      </m:oMath>
      <w:r>
        <w:rPr>
          <w:b/>
          <w:bCs/>
        </w:rPr>
        <w:t xml:space="preserve">0.64</w:t>
      </w:r>
      <w:r>
        <w:t xml:space="preserve"> </w:t>
      </w:r>
      <w:r>
        <w:t xml:space="preserve">range. The freshest Zacks consensus sits near</w:t>
      </w:r>
      <w:r>
        <w:t xml:space="preserve"> </w:t>
      </w:r>
      <m:oMath>
        <m:r>
          <m:t>0.64</m:t>
        </m:r>
        <m:r>
          <m:rPr>
            <m:sty m:val="p"/>
          </m:rPr>
          <m:t>*</m:t>
        </m:r>
        <m:r>
          <m:rPr>
            <m:sty m:val="p"/>
          </m:rPr>
          <m:t>*</m:t>
        </m:r>
        <m:r>
          <m:rPr>
            <m:sty m:val="p"/>
          </m:rPr>
          <m:t>(</m:t>
        </m:r>
        <m:r>
          <m:t> </m:t>
        </m:r>
        <m:r>
          <m:rPr>
            <m:sty m:val="p"/>
          </m:rPr>
          <m:t>+</m:t>
        </m:r>
        <m:r>
          <m:t>25</m:t>
        </m:r>
      </m:oMath>
      <w:r>
        <w:rPr>
          <w:b/>
          <w:bCs/>
        </w:rPr>
        <w:t xml:space="preserve">0.58–</w:t>
      </w:r>
      <m:oMath>
        <m:r>
          <m:t>0.59</m:t>
        </m:r>
        <m:r>
          <m:rPr>
            <m:sty m:val="p"/>
          </m:rPr>
          <m:t>.</m:t>
        </m:r>
        <m:r>
          <m:t>E</m:t>
        </m:r>
        <m:r>
          <m:t>i</m:t>
        </m:r>
        <m:r>
          <m:t>t</m:t>
        </m:r>
        <m:r>
          <m:t>h</m:t>
        </m:r>
        <m:r>
          <m:t>e</m:t>
        </m:r>
        <m:r>
          <m:t>r</m:t>
        </m:r>
        <m:r>
          <m:t>w</m:t>
        </m:r>
        <m:r>
          <m:t>a</m:t>
        </m:r>
        <m:r>
          <m:t>y</m:t>
        </m:r>
        <m:r>
          <m:t>i</m:t>
        </m:r>
        <m:r>
          <m:t>t</m:t>
        </m:r>
        <m:r>
          <m:t>i</m:t>
        </m:r>
        <m:r>
          <m:t>m</m:t>
        </m:r>
        <m:r>
          <m:t>p</m:t>
        </m:r>
        <m:r>
          <m:t>l</m:t>
        </m:r>
        <m:r>
          <m:t>i</m:t>
        </m:r>
        <m:r>
          <m:t>e</m:t>
        </m:r>
        <m:r>
          <m:t>s</m:t>
        </m:r>
        <m:r>
          <m:t>s</m:t>
        </m:r>
        <m:r>
          <m:t>o</m:t>
        </m:r>
        <m:r>
          <m:t>l</m:t>
        </m:r>
        <m:r>
          <m:t>i</m:t>
        </m:r>
        <m:r>
          <m:t>d</m:t>
        </m:r>
        <m:r>
          <m:t>d</m:t>
        </m:r>
        <m:r>
          <m:t>o</m:t>
        </m:r>
        <m:r>
          <m:t>u</m:t>
        </m:r>
        <m:r>
          <m:t>b</m:t>
        </m:r>
        <m:r>
          <m:t>l</m:t>
        </m:r>
        <m:r>
          <m:t>e</m:t>
        </m:r>
        <m:r>
          <m:rPr>
            <m:sty m:val="p"/>
          </m:rPr>
          <m:t>−</m:t>
        </m:r>
        <m:r>
          <m:t>d</m:t>
        </m:r>
        <m:r>
          <m:t>i</m:t>
        </m:r>
        <m:r>
          <m:t>g</m:t>
        </m:r>
        <m:r>
          <m:t>i</m:t>
        </m:r>
        <m:r>
          <m:t>t</m:t>
        </m:r>
        <m:r>
          <m:t>g</m:t>
        </m:r>
        <m:r>
          <m:t>r</m:t>
        </m:r>
        <m:r>
          <m:t>o</m:t>
        </m:r>
        <m:r>
          <m:t>w</m:t>
        </m:r>
        <m:r>
          <m:t>t</m:t>
        </m:r>
        <m:r>
          <m:t>h</m:t>
        </m:r>
        <m:r>
          <m:t>o</m:t>
        </m:r>
        <m:r>
          <m:t>f</m:t>
        </m:r>
        <m:r>
          <m:t>f</m:t>
        </m:r>
        <m:r>
          <m:t>t</m:t>
        </m:r>
        <m:r>
          <m:t>h</m:t>
        </m:r>
        <m:r>
          <m:t>e</m:t>
        </m:r>
        <m:r>
          <m:t>y</m:t>
        </m:r>
        <m:r>
          <m:t>e</m:t>
        </m:r>
        <m:r>
          <m:t>a</m:t>
        </m:r>
        <m:r>
          <m:t>r</m:t>
        </m:r>
        <m:r>
          <m:rPr>
            <m:sty m:val="p"/>
          </m:rPr>
          <m:t>−</m:t>
        </m:r>
        <m:r>
          <m:t>a</m:t>
        </m:r>
        <m:r>
          <m:t>g</m:t>
        </m:r>
        <m:r>
          <m:t>o</m:t>
        </m:r>
        <m:r>
          <m:rPr>
            <m:sty m:val="p"/>
          </m:rPr>
          <m:t>*</m:t>
        </m:r>
        <m:r>
          <m:rPr>
            <m:sty m:val="p"/>
          </m:rPr>
          <m:t>*</m:t>
        </m:r>
      </m:oMath>
      <w:r>
        <w:rPr>
          <w:b/>
          <w:bCs/>
        </w:rPr>
        <w:t xml:space="preserve">0.51</w:t>
      </w:r>
      <w:r>
        <w:t xml:space="preserve">.</w:t>
      </w:r>
    </w:p>
    <w:p>
      <w:pPr>
        <w:pStyle w:val="Compact"/>
        <w:numPr>
          <w:ilvl w:val="0"/>
          <w:numId w:val="1001"/>
        </w:numPr>
      </w:pPr>
      <w:r>
        <w:rPr>
          <w:b/>
          <w:bCs/>
        </w:rPr>
        <w:t xml:space="preserve">Full-year 2026 EPS:</w:t>
      </w:r>
      <w:r>
        <w:t xml:space="preserve"> </w:t>
      </w:r>
      <w:r>
        <w:t xml:space="preserve">~</w:t>
      </w:r>
      <m:oMath>
        <m:r>
          <m:t>2.46</m:t>
        </m:r>
        <m:r>
          <m:rPr>
            <m:sty m:val="p"/>
          </m:rPr>
          <m:t>–</m:t>
        </m:r>
      </m:oMath>
      <w:r>
        <w:t xml:space="preserve">2.51 (low-to-mid teens growth).</w:t>
      </w:r>
    </w:p>
    <w:p>
      <w:pPr>
        <w:pStyle w:val="Compact"/>
        <w:numPr>
          <w:ilvl w:val="0"/>
          <w:numId w:val="1001"/>
        </w:numPr>
      </w:pPr>
      <w:r>
        <w:rPr>
          <w:b/>
          <w:bCs/>
        </w:rPr>
        <w:t xml:space="preserve">Sentiment:</w:t>
      </w:r>
      <w:r>
        <w:t xml:space="preserve"> </w:t>
      </w:r>
      <w:r>
        <w:t xml:space="preserve">heavily bullish — most covering analysts rate it Buy/Strong Buy. Notably, **Bank of America lifted its target to $106 (from</w:t>
      </w:r>
      <w:r>
        <w:t xml:space="preserve"> </w:t>
      </w:r>
      <m:oMath>
        <m:r>
          <m:t>83</m:t>
        </m:r>
        <m:r>
          <m:rPr>
            <m:sty m:val="p"/>
          </m:rPr>
          <m:t>)</m:t>
        </m:r>
        <m:r>
          <m:t>o</m:t>
        </m:r>
        <m:r>
          <m:t>n</m:t>
        </m:r>
        <m:r>
          <m:t>J</m:t>
        </m:r>
        <m:r>
          <m:t>u</m:t>
        </m:r>
        <m:r>
          <m:t>l</m:t>
        </m:r>
        <m:r>
          <m:t>y</m:t>
        </m:r>
        <m:r>
          <m:t>14</m:t>
        </m:r>
        <m:r>
          <m:rPr>
            <m:sty m:val="p"/>
          </m:rPr>
          <m:t>*</m:t>
        </m:r>
        <m:r>
          <m:rPr>
            <m:sty m:val="p"/>
          </m:rPr>
          <m:t>*</m:t>
        </m:r>
        <m:r>
          <m:rPr>
            <m:sty m:val="p"/>
          </m:rPr>
          <m:t>,</m:t>
        </m:r>
        <m:r>
          <m:t>a</m:t>
        </m:r>
        <m:r>
          <m:t>n</m:t>
        </m:r>
        <m:r>
          <m:t>d</m:t>
        </m:r>
        <m:r>
          <m:t>o</m:t>
        </m:r>
        <m:r>
          <m:t>t</m:t>
        </m:r>
        <m:r>
          <m:t>h</m:t>
        </m:r>
        <m:r>
          <m:t>e</m:t>
        </m:r>
        <m:r>
          <m:t>r</m:t>
        </m:r>
        <m:r>
          <m:t>s</m:t>
        </m:r>
        <m:r>
          <m:t>h</m:t>
        </m:r>
        <m:r>
          <m:t>o</m:t>
        </m:r>
        <m:r>
          <m:t>p</m:t>
        </m:r>
        <m:r>
          <m:t>s</m:t>
        </m:r>
        <m:r>
          <m:rPr>
            <m:sty m:val="p"/>
          </m:rPr>
          <m:t>(</m:t>
        </m:r>
        <m:r>
          <m:t>M</m:t>
        </m:r>
        <m:r>
          <m:t>o</m:t>
        </m:r>
        <m:r>
          <m:t>r</m:t>
        </m:r>
        <m:r>
          <m:t>n</m:t>
        </m:r>
        <m:r>
          <m:t>i</m:t>
        </m:r>
        <m:r>
          <m:t>n</m:t>
        </m:r>
        <m:r>
          <m:t>g</m:t>
        </m:r>
        <m:r>
          <m:t>s</m:t>
        </m:r>
        <m:r>
          <m:t>t</m:t>
        </m:r>
        <m:r>
          <m:t>a</m:t>
        </m:r>
        <m:r>
          <m:t>r</m:t>
        </m:r>
        <m:r>
          <m:rPr>
            <m:sty m:val="p"/>
          </m:rPr>
          <m:t>,</m:t>
        </m:r>
        <m:r>
          <m:t>A</m:t>
        </m:r>
        <m:r>
          <m:t>r</m:t>
        </m:r>
        <m:r>
          <m:t>g</m:t>
        </m:r>
        <m:r>
          <m:t>u</m:t>
        </m:r>
        <m:r>
          <m:t>s</m:t>
        </m:r>
        <m:r>
          <m:rPr>
            <m:sty m:val="p"/>
          </m:rPr>
          <m:t>)</m:t>
        </m:r>
        <m:r>
          <m:t>h</m:t>
        </m:r>
        <m:r>
          <m:t>a</m:t>
        </m:r>
        <m:r>
          <m:t>v</m:t>
        </m:r>
        <m:r>
          <m:t>e</m:t>
        </m:r>
        <m:r>
          <m:t>b</m:t>
        </m:r>
        <m:r>
          <m:t>e</m:t>
        </m:r>
        <m:r>
          <m:t>e</m:t>
        </m:r>
        <m:r>
          <m:t>n</m:t>
        </m:r>
        <m:r>
          <m:t>n</m:t>
        </m:r>
        <m:r>
          <m:t>u</m:t>
        </m:r>
        <m:r>
          <m:t>d</m:t>
        </m:r>
        <m:r>
          <m:t>g</m:t>
        </m:r>
        <m:r>
          <m:t>i</m:t>
        </m:r>
        <m:r>
          <m:t>n</m:t>
        </m:r>
        <m:r>
          <m:t>g</m:t>
        </m:r>
        <m:r>
          <m:t>t</m:t>
        </m:r>
        <m:r>
          <m:t>a</m:t>
        </m:r>
        <m:r>
          <m:t>r</m:t>
        </m:r>
        <m:r>
          <m:t>g</m:t>
        </m:r>
        <m:r>
          <m:t>e</m:t>
        </m:r>
        <m:r>
          <m:t>t</m:t>
        </m:r>
        <m:r>
          <m:t>s</m:t>
        </m:r>
        <m:r>
          <m:t>h</m:t>
        </m:r>
        <m:r>
          <m:t>i</m:t>
        </m:r>
        <m:r>
          <m:t>g</m:t>
        </m:r>
        <m:r>
          <m:t>h</m:t>
        </m:r>
        <m:r>
          <m:t>e</m:t>
        </m:r>
        <m:r>
          <m:t>r</m:t>
        </m:r>
        <m:r>
          <m:rPr>
            <m:sty m:val="p"/>
          </m:rPr>
          <m:t>.</m:t>
        </m:r>
        <m:r>
          <m:t>A</m:t>
        </m:r>
        <m:r>
          <m:t>v</m:t>
        </m:r>
        <m:r>
          <m:t>e</m:t>
        </m:r>
        <m:r>
          <m:t>r</m:t>
        </m:r>
        <m:r>
          <m:t>a</m:t>
        </m:r>
        <m:r>
          <m:t>g</m:t>
        </m:r>
        <m:r>
          <m:t>e</m:t>
        </m:r>
        <m:r>
          <m:t>t</m:t>
        </m:r>
        <m:r>
          <m:t>a</m:t>
        </m:r>
        <m:r>
          <m:t>r</m:t>
        </m:r>
        <m:r>
          <m:t>g</m:t>
        </m:r>
        <m:r>
          <m:t>e</m:t>
        </m:r>
        <m:r>
          <m:t>t</m:t>
        </m:r>
        <m:r>
          <m:t>s</m:t>
        </m:r>
        <m:r>
          <m:t>h</m:t>
        </m:r>
        <m:r>
          <m:t>a</m:t>
        </m:r>
        <m:r>
          <m:t>d</m:t>
        </m:r>
        <m:r>
          <m:t>b</m:t>
        </m:r>
        <m:r>
          <m:t>e</m:t>
        </m:r>
        <m:r>
          <m:t>e</m:t>
        </m:r>
        <m:r>
          <m:t>n</m:t>
        </m:r>
        <m:r>
          <m:t>c</m:t>
        </m:r>
        <m:r>
          <m:t>l</m:t>
        </m:r>
        <m:r>
          <m:t>u</m:t>
        </m:r>
        <m:r>
          <m:t>s</m:t>
        </m:r>
        <m:r>
          <m:t>t</m:t>
        </m:r>
        <m:r>
          <m:t>e</m:t>
        </m:r>
        <m:r>
          <m:t>r</m:t>
        </m:r>
        <m:r>
          <m:t>e</m:t>
        </m:r>
        <m:r>
          <m:t>d</m:t>
        </m:r>
        <m:r>
          <m:t>i</m:t>
        </m:r>
        <m:r>
          <m:t>n</m:t>
        </m:r>
        <m:r>
          <m:t>t</m:t>
        </m:r>
        <m:r>
          <m:t>h</m:t>
        </m:r>
        <m:r>
          <m:t>e</m:t>
        </m:r>
        <m:r>
          <m:t>h</m:t>
        </m:r>
        <m:r>
          <m:t>i</m:t>
        </m:r>
        <m:r>
          <m:t>g</m:t>
        </m:r>
        <m:r>
          <m:t>h</m:t>
        </m:r>
        <m:r>
          <m:rPr>
            <m:sty m:val="p"/>
          </m:rPr>
          <m:t>−</m:t>
        </m:r>
      </m:oMath>
      <w:r>
        <w:t xml:space="preserve">80s/low-$90s before the recent raises.</w:t>
      </w:r>
    </w:p>
    <w:p>
      <w:pPr>
        <w:pStyle w:val="FirstParagraph"/>
      </w:pPr>
      <w:r>
        <w:t xml:space="preserve">Track record: IBKR has topped EPS consensus in three of the last four quarters, but</w:t>
      </w:r>
      <w:r>
        <w:t xml:space="preserve"> </w:t>
      </w:r>
      <w:r>
        <w:rPr>
          <w:b/>
          <w:bCs/>
        </w:rPr>
        <w:t xml:space="preserve">missed last quarter (1Q2026) on higher expenses</w:t>
      </w:r>
      <w:r>
        <w:t xml:space="preserve"> </w:t>
      </w:r>
      <w:r>
        <w:t xml:space="preserve">— a reminder that the cost line (especially advertising) matters here.</w:t>
      </w:r>
    </w:p>
    <w:p>
      <w:r>
        <w:pict>
          <v:rect style="width:0;height:1.5pt" o:hralign="center" o:hrstd="t" o:hr="t"/>
        </w:pict>
      </w:r>
    </w:p>
    <w:bookmarkEnd w:id="10"/>
    <w:bookmarkStart w:id="11" w:name="X818ca6698f6027be07e3e4d51dc4753e56bdb86"/>
    <w:p>
      <w:pPr>
        <w:pStyle w:val="Heading2"/>
      </w:pPr>
      <w:r>
        <w:t xml:space="preserve">3. The read-through is already public — and it's strong</w:t>
      </w:r>
    </w:p>
    <w:p>
      <w:pPr>
        <w:pStyle w:val="FirstParagraph"/>
      </w:pPr>
      <w:r>
        <w:t xml:space="preserve">IBKR reports</w:t>
      </w:r>
      <w:r>
        <w:t xml:space="preserve"> </w:t>
      </w:r>
      <w:r>
        <w:rPr>
          <w:b/>
          <w:bCs/>
        </w:rPr>
        <w:t xml:space="preserve">monthly brokerage metrics</w:t>
      </w:r>
      <w:r>
        <w:t xml:space="preserve">, so most of Q2's operating story is known. The three months of the quarter showed a clear</w:t>
      </w:r>
      <w:r>
        <w:t xml:space="preserve"> </w:t>
      </w:r>
      <w:r>
        <w:rPr>
          <w:i/>
          <w:iCs/>
        </w:rPr>
        <w:t xml:space="preserve">acceleration</w:t>
      </w:r>
      <w:r>
        <w:t xml:space="preserv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 (month-end / monthly avg)</w:t>
            </w:r>
          </w:p>
        </w:tc>
        <w:tc>
          <w:tcPr/>
          <w:p>
            <w:pPr>
              <w:pStyle w:val="Compact"/>
            </w:pPr>
            <w:r>
              <w:t xml:space="preserve">Apr 2026</w:t>
            </w:r>
          </w:p>
        </w:tc>
        <w:tc>
          <w:tcPr/>
          <w:p>
            <w:pPr>
              <w:pStyle w:val="Compact"/>
            </w:pPr>
            <w:r>
              <w:t xml:space="preserve">May 2026</w:t>
            </w:r>
          </w:p>
        </w:tc>
        <w:tc>
          <w:tcPr/>
          <w:p>
            <w:pPr>
              <w:pStyle w:val="Compact"/>
            </w:pPr>
            <w:r>
              <w:t xml:space="preserve">Jun 2026</w:t>
            </w:r>
          </w:p>
        </w:tc>
        <w:tc>
          <w:tcPr/>
          <w:p>
            <w:pPr>
              <w:pStyle w:val="Compact"/>
            </w:pPr>
            <w:r>
              <w:t xml:space="preserve">YoY (Jun)</w:t>
            </w:r>
          </w:p>
        </w:tc>
      </w:tr>
      <w:tr>
        <w:tc>
          <w:tcPr/>
          <w:p>
            <w:pPr>
              <w:pStyle w:val="Compact"/>
            </w:pPr>
            <w:r>
              <w:t xml:space="preserve">DARTs (millions)</w:t>
            </w:r>
          </w:p>
        </w:tc>
        <w:tc>
          <w:tcPr/>
          <w:p>
            <w:pPr>
              <w:pStyle w:val="Compact"/>
            </w:pPr>
            <w:r>
              <w:t xml:space="preserve">4.24 (+11%)</w:t>
            </w:r>
          </w:p>
        </w:tc>
        <w:tc>
          <w:tcPr/>
          <w:p>
            <w:pPr>
              <w:pStyle w:val="Compact"/>
            </w:pPr>
            <w:r>
              <w:t xml:space="preserve">4.97 (+47%)</w:t>
            </w:r>
          </w:p>
        </w:tc>
        <w:tc>
          <w:tcPr/>
          <w:p>
            <w:pPr>
              <w:pStyle w:val="Compact"/>
            </w:pPr>
            <w:r>
              <w:rPr>
                <w:b/>
                <w:bCs/>
              </w:rPr>
              <w:t xml:space="preserve">5.27 (+53%)</w:t>
            </w:r>
          </w:p>
        </w:tc>
        <w:tc>
          <w:tcPr/>
          <w:p>
            <w:pPr>
              <w:pStyle w:val="Compact"/>
            </w:pPr>
            <w:r>
              <w:t xml:space="preserve">—</w:t>
            </w:r>
          </w:p>
        </w:tc>
      </w:tr>
      <w:tr>
        <w:tc>
          <w:tcPr/>
          <w:p>
            <w:pPr>
              <w:pStyle w:val="Compact"/>
            </w:pPr>
            <w:r>
              <w:t xml:space="preserve">Client equity ($B)</w:t>
            </w:r>
          </w:p>
        </w:tc>
        <w:tc>
          <w:tcPr/>
          <w:p>
            <w:pPr>
              <w:pStyle w:val="Compact"/>
            </w:pPr>
            <w:r>
              <w:t xml:space="preserve">870.9</w:t>
            </w:r>
          </w:p>
        </w:tc>
        <w:tc>
          <w:tcPr/>
          <w:p>
            <w:pPr>
              <w:pStyle w:val="Compact"/>
            </w:pPr>
            <w:r>
              <w:t xml:space="preserve">937.3</w:t>
            </w:r>
          </w:p>
        </w:tc>
        <w:tc>
          <w:tcPr/>
          <w:p>
            <w:pPr>
              <w:pStyle w:val="Compact"/>
            </w:pPr>
            <w:r>
              <w:rPr>
                <w:b/>
                <w:bCs/>
              </w:rPr>
              <w:t xml:space="preserve">930.3</w:t>
            </w:r>
          </w:p>
        </w:tc>
        <w:tc>
          <w:tcPr/>
          <w:p>
            <w:pPr>
              <w:pStyle w:val="Compact"/>
            </w:pPr>
            <w:r>
              <w:t xml:space="preserve">+40%</w:t>
            </w:r>
          </w:p>
        </w:tc>
      </w:tr>
      <w:tr>
        <w:tc>
          <w:tcPr/>
          <w:p>
            <w:pPr>
              <w:pStyle w:val="Compact"/>
            </w:pPr>
            <w:r>
              <w:t xml:space="preserve">Margin loans ($B)</w:t>
            </w:r>
          </w:p>
        </w:tc>
        <w:tc>
          <w:tcPr/>
          <w:p>
            <w:pPr>
              <w:pStyle w:val="Compact"/>
            </w:pPr>
            <w:r>
              <w:t xml:space="preserve">91.3</w:t>
            </w:r>
          </w:p>
        </w:tc>
        <w:tc>
          <w:tcPr/>
          <w:p>
            <w:pPr>
              <w:pStyle w:val="Compact"/>
            </w:pPr>
            <w:r>
              <w:t xml:space="preserve">100.9</w:t>
            </w:r>
          </w:p>
        </w:tc>
        <w:tc>
          <w:tcPr/>
          <w:p>
            <w:pPr>
              <w:pStyle w:val="Compact"/>
            </w:pPr>
            <w:r>
              <w:rPr>
                <w:b/>
                <w:bCs/>
              </w:rPr>
              <w:t xml:space="preserve">108.5</w:t>
            </w:r>
          </w:p>
        </w:tc>
        <w:tc>
          <w:tcPr/>
          <w:p>
            <w:pPr>
              <w:pStyle w:val="Compact"/>
            </w:pPr>
            <w:r>
              <w:t xml:space="preserve">+67%</w:t>
            </w:r>
          </w:p>
        </w:tc>
      </w:tr>
      <w:tr>
        <w:tc>
          <w:tcPr/>
          <w:p>
            <w:pPr>
              <w:pStyle w:val="Compact"/>
            </w:pPr>
            <w:r>
              <w:t xml:space="preserve">Client credit balances ($B)</w:t>
            </w:r>
          </w:p>
        </w:tc>
        <w:tc>
          <w:tcPr/>
          <w:p>
            <w:pPr>
              <w:pStyle w:val="Compact"/>
            </w:pPr>
            <w:r>
              <w:t xml:space="preserve">175.6</w:t>
            </w:r>
          </w:p>
        </w:tc>
        <w:tc>
          <w:tcPr/>
          <w:p>
            <w:pPr>
              <w:pStyle w:val="Compact"/>
            </w:pPr>
            <w:r>
              <w:t xml:space="preserve">180.1</w:t>
            </w:r>
          </w:p>
        </w:tc>
        <w:tc>
          <w:tcPr/>
          <w:p>
            <w:pPr>
              <w:pStyle w:val="Compact"/>
            </w:pPr>
            <w:r>
              <w:rPr>
                <w:b/>
                <w:bCs/>
              </w:rPr>
              <w:t xml:space="preserve">182.4</w:t>
            </w:r>
          </w:p>
        </w:tc>
        <w:tc>
          <w:tcPr/>
          <w:p>
            <w:pPr>
              <w:pStyle w:val="Compact"/>
            </w:pPr>
            <w:r>
              <w:t xml:space="preserve">+27%</w:t>
            </w:r>
          </w:p>
        </w:tc>
      </w:tr>
      <w:tr>
        <w:tc>
          <w:tcPr/>
          <w:p>
            <w:pPr>
              <w:pStyle w:val="Compact"/>
            </w:pPr>
            <w:r>
              <w:t xml:space="preserve">Client accounts (M)</w:t>
            </w:r>
          </w:p>
        </w:tc>
        <w:tc>
          <w:tcPr/>
          <w:p>
            <w:pPr>
              <w:pStyle w:val="Compact"/>
            </w:pPr>
            <w:r>
              <w:t xml:space="preserve">—</w:t>
            </w:r>
          </w:p>
        </w:tc>
        <w:tc>
          <w:tcPr/>
          <w:p>
            <w:pPr>
              <w:pStyle w:val="Compact"/>
            </w:pPr>
            <w:r>
              <w:t xml:space="preserve">—</w:t>
            </w:r>
          </w:p>
        </w:tc>
        <w:tc>
          <w:tcPr/>
          <w:p>
            <w:pPr>
              <w:pStyle w:val="Compact"/>
            </w:pPr>
            <w:r>
              <w:rPr>
                <w:b/>
                <w:bCs/>
              </w:rPr>
              <w:t xml:space="preserve">5.185</w:t>
            </w:r>
          </w:p>
        </w:tc>
        <w:tc>
          <w:tcPr/>
          <w:p>
            <w:pPr>
              <w:pStyle w:val="Compact"/>
            </w:pPr>
            <w:r>
              <w:t xml:space="preserve">+34%</w:t>
            </w:r>
          </w:p>
        </w:tc>
      </w:tr>
    </w:tbl>
    <w:p>
      <w:pPr>
        <w:pStyle w:val="BodyText"/>
      </w:pPr>
      <w:r>
        <w:t xml:space="preserve">Key takeaways:</w:t>
      </w:r>
    </w:p>
    <w:p>
      <w:pPr>
        <w:pStyle w:val="Compact"/>
        <w:numPr>
          <w:ilvl w:val="0"/>
          <w:numId w:val="1002"/>
        </w:numPr>
      </w:pPr>
      <w:r>
        <w:rPr>
          <w:b/>
          <w:bCs/>
        </w:rPr>
        <w:t xml:space="preserve">Trading activity ramped through the quarter.</w:t>
      </w:r>
      <w:r>
        <w:t xml:space="preserve"> </w:t>
      </w:r>
      <w:r>
        <w:t xml:space="preserve">Quarterly DARTs averaged roughly</w:t>
      </w:r>
      <w:r>
        <w:t xml:space="preserve"> </w:t>
      </w:r>
      <w:r>
        <w:rPr>
          <w:b/>
          <w:bCs/>
        </w:rPr>
        <w:t xml:space="preserve">~4.8M, up ~36% YoY and ~10% vs. Q1's 4.37M</w:t>
      </w:r>
      <w:r>
        <w:t xml:space="preserve">. April looked soft on a tough comp (April 2025 had a tariff-driven volatility spike), but May/June volumes surged as clients re-engaged.</w:t>
      </w:r>
    </w:p>
    <w:p>
      <w:pPr>
        <w:pStyle w:val="Compact"/>
        <w:numPr>
          <w:ilvl w:val="0"/>
          <w:numId w:val="1002"/>
        </w:numPr>
      </w:pPr>
      <w:r>
        <w:rPr>
          <w:b/>
          <w:bCs/>
        </w:rPr>
        <w:t xml:space="preserve">Balances hit records.</w:t>
      </w:r>
      <w:r>
        <w:t xml:space="preserve"> </w:t>
      </w:r>
      <w:r>
        <w:t xml:space="preserve">Ending margin loans of</w:t>
      </w:r>
      <w:r>
        <w:t xml:space="preserve"> </w:t>
      </w:r>
      <w:r>
        <w:rPr>
          <w:b/>
          <w:bCs/>
        </w:rPr>
        <w:t xml:space="preserve">$108.5B are up ~26% vs. Q1's $86.0B</w:t>
      </w:r>
      <w:r>
        <w:t xml:space="preserve"> </w:t>
      </w:r>
      <w:r>
        <w:t xml:space="preserve">— a direct positive for net interest income. Client equity rose ~18% sequentially, and accounts grew to</w:t>
      </w:r>
      <w:r>
        <w:t xml:space="preserve"> </w:t>
      </w:r>
      <w:r>
        <w:rPr>
          <w:b/>
          <w:bCs/>
        </w:rPr>
        <w:t xml:space="preserve">5.19M</w:t>
      </w:r>
      <w:r>
        <w:t xml:space="preserve"> </w:t>
      </w:r>
      <w:r>
        <w:t xml:space="preserve">(adding ~430k in the quarter).</w:t>
      </w:r>
    </w:p>
    <w:p>
      <w:pPr>
        <w:pStyle w:val="Compact"/>
        <w:numPr>
          <w:ilvl w:val="0"/>
          <w:numId w:val="1002"/>
        </w:numPr>
      </w:pPr>
      <w:r>
        <w:t xml:space="preserve">The June metrics release was itself a catalyst — the stock jumped ~6–9% on July 1 on the data.</w:t>
      </w:r>
    </w:p>
    <w:p>
      <w:pPr>
        <w:pStyle w:val="FirstParagraph"/>
      </w:pPr>
      <w:r>
        <w:rPr>
          <w:b/>
          <w:bCs/>
        </w:rPr>
        <w:t xml:space="preserve">What this means:</w:t>
      </w:r>
      <w:r>
        <w:t xml:space="preserve"> </w:t>
      </w:r>
      <w:r>
        <w:t xml:space="preserve">commission revenue and average interest-earning balances almost certainly set new records. The surprise potential is therefore less about the top-line trajectory (well telegraphed) and more about</w:t>
      </w:r>
      <w:r>
        <w:t xml:space="preserve"> </w:t>
      </w:r>
      <w:r>
        <w:rPr>
          <w:b/>
          <w:bCs/>
        </w:rPr>
        <w:t xml:space="preserve">margins, NII yield, and expenses</w:t>
      </w:r>
      <w:r>
        <w:t xml:space="preserve">.</w:t>
      </w:r>
    </w:p>
    <w:p>
      <w:r>
        <w:pict>
          <v:rect style="width:0;height:1.5pt" o:hralign="center" o:hrstd="t" o:hr="t"/>
        </w:pict>
      </w:r>
    </w:p>
    <w:bookmarkEnd w:id="11"/>
    <w:bookmarkStart w:id="12" w:name="Xcd94fa2b26f9263d6ad90acaacf3fd74350c950"/>
    <w:p>
      <w:pPr>
        <w:pStyle w:val="Heading2"/>
      </w:pPr>
      <w:r>
        <w:t xml:space="preserve">4. The key debate: Net Interest Income &amp; rate sensitivity</w:t>
      </w:r>
    </w:p>
    <w:p>
      <w:pPr>
        <w:pStyle w:val="FirstParagraph"/>
      </w:pPr>
      <w:r>
        <w:t xml:space="preserve">NII is the single biggest swing factor and the most-watched line.</w:t>
      </w:r>
    </w:p>
    <w:p>
      <w:pPr>
        <w:pStyle w:val="Compact"/>
        <w:numPr>
          <w:ilvl w:val="0"/>
          <w:numId w:val="1003"/>
        </w:numPr>
      </w:pPr>
      <w:r>
        <w:t xml:space="preserve">In Q1,</w:t>
      </w:r>
      <w:r>
        <w:t xml:space="preserve"> </w:t>
      </w:r>
      <w:r>
        <w:rPr>
          <w:b/>
          <w:bCs/>
        </w:rPr>
        <w:t xml:space="preserve">NII was $904M (+17% YoY)</w:t>
      </w:r>
      <w:r>
        <w:t xml:space="preserve">, but</w:t>
      </w:r>
      <w:r>
        <w:t xml:space="preserve"> </w:t>
      </w:r>
      <w:r>
        <w:rPr>
          <w:b/>
          <w:bCs/>
        </w:rPr>
        <w:t xml:space="preserve">NIM compressed to 1.88% from 2.10%</w:t>
      </w:r>
      <w:r>
        <w:t xml:space="preserve"> </w:t>
      </w:r>
      <w:r>
        <w:t xml:space="preserve">a year earlier as benchmark rates fell even while balances grew.</w:t>
      </w:r>
    </w:p>
    <w:p>
      <w:pPr>
        <w:pStyle w:val="Compact"/>
        <w:numPr>
          <w:ilvl w:val="0"/>
          <w:numId w:val="1003"/>
        </w:numPr>
      </w:pPr>
      <w:r>
        <w:t xml:space="preserve">Management's own sensitivity: a</w:t>
      </w:r>
      <w:r>
        <w:t xml:space="preserve"> </w:t>
      </w:r>
      <w:r>
        <w:rPr>
          <w:b/>
          <w:bCs/>
        </w:rPr>
        <w:t xml:space="preserve">25bp Fed cut ≈ –</w:t>
      </w:r>
      <m:oMath>
        <m:r>
          <m:t>80</m:t>
        </m:r>
        <m:r>
          <m:t>M</m:t>
        </m:r>
        <m:r>
          <m:t>a</m:t>
        </m:r>
        <m:r>
          <m:t>n</m:t>
        </m:r>
        <m:r>
          <m:t>n</m:t>
        </m:r>
        <m:r>
          <m:t>u</m:t>
        </m:r>
        <m:r>
          <m:t>a</m:t>
        </m:r>
        <m:r>
          <m:t>l</m:t>
        </m:r>
        <m:r>
          <m:t>i</m:t>
        </m:r>
        <m:r>
          <m:t>z</m:t>
        </m:r>
        <m:r>
          <m:t>e</m:t>
        </m:r>
        <m:r>
          <m:t>d</m:t>
        </m:r>
        <m:r>
          <m:t>N</m:t>
        </m:r>
        <m:r>
          <m:t>I</m:t>
        </m:r>
        <m:r>
          <m:t>I</m:t>
        </m:r>
        <m:r>
          <m:rPr>
            <m:sty m:val="p"/>
          </m:rPr>
          <m:t>*</m:t>
        </m:r>
        <m:r>
          <m:rPr>
            <m:sty m:val="p"/>
          </m:rPr>
          <m:t>*</m:t>
        </m:r>
        <m:r>
          <m:rPr>
            <m:sty m:val="p"/>
          </m:rPr>
          <m:t>(</m:t>
        </m:r>
        <m:r>
          <m:t>U</m:t>
        </m:r>
        <m:r>
          <m:t>S</m:t>
        </m:r>
        <m:r>
          <m:t>D</m:t>
        </m:r>
        <m:r>
          <m:t>b</m:t>
        </m:r>
        <m:r>
          <m:t>a</m:t>
        </m:r>
        <m:r>
          <m:t>l</m:t>
        </m:r>
        <m:r>
          <m:t>a</m:t>
        </m:r>
        <m:r>
          <m:t>n</m:t>
        </m:r>
        <m:r>
          <m:t>c</m:t>
        </m:r>
        <m:r>
          <m:t>e</m:t>
        </m:r>
        <m:r>
          <m:t>s</m:t>
        </m:r>
        <m:r>
          <m:rPr>
            <m:sty m:val="p"/>
          </m:rPr>
          <m:t>)</m:t>
        </m:r>
        <m:r>
          <m:rPr>
            <m:sty m:val="p"/>
          </m:rPr>
          <m:t>,</m:t>
        </m:r>
        <m:r>
          <m:t>p</m:t>
        </m:r>
        <m:r>
          <m:t>l</m:t>
        </m:r>
        <m:r>
          <m:t>u</m:t>
        </m:r>
        <m:r>
          <m:t>s</m:t>
        </m:r>
        <m:r>
          <m:rPr>
            <m:sty m:val="p"/>
          </m:rPr>
          <m:t>*</m:t>
        </m:r>
        <m:r>
          <m:rPr>
            <m:sty m:val="p"/>
          </m:rPr>
          <m:t>*</m:t>
        </m:r>
        <m:r>
          <m:t> </m:t>
        </m:r>
        <m:r>
          <m:rPr>
            <m:sty m:val="p"/>
          </m:rPr>
          <m:t>–</m:t>
        </m:r>
      </m:oMath>
      <w:r>
        <w:rPr>
          <w:b/>
          <w:bCs/>
        </w:rPr>
        <w:t xml:space="preserve">35M</w:t>
      </w:r>
      <w:r>
        <w:t xml:space="preserve"> </w:t>
      </w:r>
      <w:r>
        <w:t xml:space="preserve">for a 25bp cut across non-USD rates (about one-third of rate-sensitive balances are non-USD). Starting point was Fed funds at 3.64% on March 31.</w:t>
      </w:r>
    </w:p>
    <w:p>
      <w:pPr>
        <w:pStyle w:val="Compact"/>
        <w:numPr>
          <w:ilvl w:val="0"/>
          <w:numId w:val="1003"/>
        </w:numPr>
      </w:pPr>
      <w:r>
        <w:rPr>
          <w:b/>
          <w:bCs/>
        </w:rPr>
        <w:t xml:space="preserve">The offset is balance growth.</w:t>
      </w:r>
      <w:r>
        <w:t xml:space="preserve"> </w:t>
      </w:r>
      <w:r>
        <w:t xml:space="preserve">With margin loans up sharply and credit balances at records, higher balances should more than cushion the modest rate drift seen in Q2 — but any dovish Fed commentary on the call will be scrutinized because NII is the biggest lever into 2H26.</w:t>
      </w:r>
    </w:p>
    <w:p>
      <w:pPr>
        <w:pStyle w:val="Compact"/>
        <w:numPr>
          <w:ilvl w:val="0"/>
          <w:numId w:val="1003"/>
        </w:numPr>
      </w:pPr>
      <w:r>
        <w:t xml:space="preserve">Watch the</w:t>
      </w:r>
      <w:r>
        <w:t xml:space="preserve"> </w:t>
      </w:r>
      <w:r>
        <w:rPr>
          <w:b/>
          <w:bCs/>
        </w:rPr>
        <w:t xml:space="preserve">securities-lending</w:t>
      </w:r>
      <w:r>
        <w:t xml:space="preserve"> </w:t>
      </w:r>
      <w:r>
        <w:t xml:space="preserve">contribution (a growing, higher-margin driver — Q1 sec-lending-related revenue was ~$270M on a comparable basis, +45% YoY) and commentary on portfolio duration (kept &lt;30 days).</w:t>
      </w:r>
    </w:p>
    <w:p>
      <w:r>
        <w:pict>
          <v:rect style="width:0;height:1.5pt" o:hralign="center" o:hrstd="t" o:hr="t"/>
        </w:pict>
      </w:r>
    </w:p>
    <w:bookmarkEnd w:id="12"/>
    <w:bookmarkStart w:id="13" w:name="Xf3c300e431c29303796c63b3ec5df8fe6bc296a"/>
    <w:p>
      <w:pPr>
        <w:pStyle w:val="Heading2"/>
      </w:pPr>
      <w:r>
        <w:t xml:space="preserve">5. Things that could pressure the "quality" of the beat</w:t>
      </w:r>
    </w:p>
    <w:p>
      <w:pPr>
        <w:pStyle w:val="Compact"/>
        <w:numPr>
          <w:ilvl w:val="0"/>
          <w:numId w:val="1004"/>
        </w:numPr>
      </w:pPr>
      <w:r>
        <w:rPr>
          <w:b/>
          <w:bCs/>
        </w:rPr>
        <w:t xml:space="preserve">Commission per cleared order is drifting lower:</w:t>
      </w:r>
      <w:r>
        <w:t xml:space="preserve"> </w:t>
      </w:r>
      <w:r>
        <w:t xml:space="preserve">$2.69 (Q1) →</w:t>
      </w:r>
      <w:r>
        <w:t xml:space="preserve"> </w:t>
      </w:r>
      <m:oMath>
        <m:r>
          <m:t>2.60</m:t>
        </m:r>
        <m:r>
          <m:rPr>
            <m:sty m:val="p"/>
          </m:rPr>
          <m:t>(</m:t>
        </m:r>
        <m:r>
          <m:t>M</m:t>
        </m:r>
        <m:r>
          <m:t>a</m:t>
        </m:r>
        <m:r>
          <m:t>y</m:t>
        </m:r>
        <m:r>
          <m:rPr>
            <m:sty m:val="p"/>
          </m:rPr>
          <m:t>)</m:t>
        </m:r>
        <m:r>
          <m:rPr>
            <m:sty m:val="p"/>
          </m:rPr>
          <m:t>→</m:t>
        </m:r>
        <m:r>
          <m:rPr>
            <m:sty m:val="p"/>
          </m:rPr>
          <m:t>*</m:t>
        </m:r>
        <m:r>
          <m:rPr>
            <m:sty m:val="p"/>
          </m:rPr>
          <m:t>*</m:t>
        </m:r>
      </m:oMath>
      <w:r>
        <w:t xml:space="preserve">2.52 (June)**. Some of this is mix (more futures/smaller contracts), but watch whether rising volumes are being partly offset by lower revenue capture per trade.</w:t>
      </w:r>
    </w:p>
    <w:p>
      <w:pPr>
        <w:pStyle w:val="Compact"/>
        <w:numPr>
          <w:ilvl w:val="0"/>
          <w:numId w:val="1004"/>
        </w:numPr>
      </w:pPr>
      <w:r>
        <w:rPr>
          <w:b/>
          <w:bCs/>
        </w:rPr>
        <w:t xml:space="preserve">SEC Section 31 fee reset:</w:t>
      </w:r>
      <w:r>
        <w:t xml:space="preserve"> </w:t>
      </w:r>
      <w:r>
        <w:t xml:space="preserve">the fee rate went from</w:t>
      </w:r>
      <w:r>
        <w:t xml:space="preserve"> </w:t>
      </w:r>
      <m:oMath>
        <m:r>
          <m:t>0</m:t>
        </m:r>
        <m:r>
          <m:t>b</m:t>
        </m:r>
        <m:r>
          <m:t>a</m:t>
        </m:r>
        <m:r>
          <m:t>c</m:t>
        </m:r>
        <m:r>
          <m:t>k</m:t>
        </m:r>
        <m:r>
          <m:t>t</m:t>
        </m:r>
        <m:r>
          <m:t>o</m:t>
        </m:r>
        <m:r>
          <m:rPr>
            <m:sty m:val="p"/>
          </m:rPr>
          <m:t>*</m:t>
        </m:r>
        <m:r>
          <m:rPr>
            <m:sty m:val="p"/>
          </m:rPr>
          <m:t>*</m:t>
        </m:r>
      </m:oMath>
      <w:r>
        <w:t xml:space="preserve">20.60/million effective April 4**. This is a</w:t>
      </w:r>
      <w:r>
        <w:t xml:space="preserve"> </w:t>
      </w:r>
      <w:r>
        <w:rPr>
          <w:b/>
          <w:bCs/>
        </w:rPr>
        <w:t xml:space="preserve">pass-through</w:t>
      </w:r>
      <w:r>
        <w:t xml:space="preserve"> </w:t>
      </w:r>
      <w:r>
        <w:t xml:space="preserve">— it inflates</w:t>
      </w:r>
      <w:r>
        <w:t xml:space="preserve"> </w:t>
      </w:r>
      <w:r>
        <w:rPr>
          <w:i/>
          <w:iCs/>
        </w:rPr>
        <w:t xml:space="preserve">both</w:t>
      </w:r>
      <w:r>
        <w:t xml:space="preserve"> </w:t>
      </w:r>
      <w:r>
        <w:t xml:space="preserve">commission revenue and execution/clearing expense with no profit impact — so headline commission growth will look optically stronger than the underlying. Don't double-count it.</w:t>
      </w:r>
    </w:p>
    <w:p>
      <w:pPr>
        <w:pStyle w:val="Compact"/>
        <w:numPr>
          <w:ilvl w:val="0"/>
          <w:numId w:val="1004"/>
        </w:numPr>
      </w:pPr>
      <w:r>
        <w:rPr>
          <w:b/>
          <w:bCs/>
        </w:rPr>
        <w:t xml:space="preserve">Expenses / advertising:</w:t>
      </w:r>
      <w:r>
        <w:t xml:space="preserve"> </w:t>
      </w:r>
      <w:r>
        <w:t xml:space="preserve">last quarter's miss was expense-driven, and management has explicitly said it is "hell bent" on increasing marketing spend (the "client outperformance" campaign expanded to TV/print/global). Watch G&amp;A and the comp ratio (~10% of revenue). The pretax margin has run</w:t>
      </w:r>
      <w:r>
        <w:t xml:space="preserve"> </w:t>
      </w:r>
      <w:r>
        <w:rPr>
          <w:b/>
          <w:bCs/>
        </w:rPr>
        <w:t xml:space="preserve">&gt;70% for six-plus straight quarters (77% in Q1)</w:t>
      </w:r>
      <w:r>
        <w:t xml:space="preserve"> </w:t>
      </w:r>
      <w:r>
        <w:t xml:space="preserve">— any margin slippage from ad spend will be a talking point.</w:t>
      </w:r>
    </w:p>
    <w:p>
      <w:pPr>
        <w:pStyle w:val="Compact"/>
        <w:numPr>
          <w:ilvl w:val="0"/>
          <w:numId w:val="1004"/>
        </w:numPr>
      </w:pPr>
      <w:r>
        <w:rPr>
          <w:b/>
          <w:bCs/>
        </w:rPr>
        <w:t xml:space="preserve">Currency diversification (GLOBAL) &amp; mark-to-market:</w:t>
      </w:r>
      <w:r>
        <w:t xml:space="preserve"> </w:t>
      </w:r>
      <w:r>
        <w:t xml:space="preserve">these are stripped out of adjusted numbers but drive GAAP volatility and comprehensive income. Given USD moves in the quarter, expect noise in "Other income" and OCI.</w:t>
      </w:r>
    </w:p>
    <w:p>
      <w:r>
        <w:pict>
          <v:rect style="width:0;height:1.5pt" o:hralign="center" o:hrstd="t" o:hr="t"/>
        </w:pict>
      </w:r>
    </w:p>
    <w:bookmarkEnd w:id="13"/>
    <w:bookmarkStart w:id="14" w:name="X35463f5f48daa187517b2aadcb3b9ac0e75192b"/>
    <w:p>
      <w:pPr>
        <w:pStyle w:val="Heading2"/>
      </w:pPr>
      <w:r>
        <w:t xml:space="preserve">6. Strategic threads to listen for on the call</w:t>
      </w:r>
    </w:p>
    <w:p>
      <w:pPr>
        <w:pStyle w:val="Compact"/>
        <w:numPr>
          <w:ilvl w:val="0"/>
          <w:numId w:val="1005"/>
        </w:numPr>
      </w:pPr>
      <w:r>
        <w:rPr>
          <w:b/>
          <w:bCs/>
        </w:rPr>
        <w:t xml:space="preserve">SEC's elimination of the Pattern Day Trader (PDT) rule</w:t>
      </w:r>
      <w:r>
        <w:t xml:space="preserve"> </w:t>
      </w:r>
      <w:r>
        <w:t xml:space="preserve">— management framed this as a genuine opportunity to broaden active trading among its large base of smaller individual accounts. Look for early color on engagement/DART impact.</w:t>
      </w:r>
    </w:p>
    <w:p>
      <w:pPr>
        <w:pStyle w:val="Compact"/>
        <w:numPr>
          <w:ilvl w:val="0"/>
          <w:numId w:val="1005"/>
        </w:numPr>
      </w:pPr>
      <w:r>
        <w:rPr>
          <w:b/>
          <w:bCs/>
        </w:rPr>
        <w:t xml:space="preserve">Crypto build-out:</w:t>
      </w:r>
      <w:r>
        <w:t xml:space="preserve"> </w:t>
      </w:r>
      <w:r>
        <w:t xml:space="preserve">European (EEA) launch via Zero Hash, crypto transfers, Coinbase Derivatives (perpetual-style futures), plus planned staking and new geographies (Singapore). Still small but a growth optionality story.</w:t>
      </w:r>
    </w:p>
    <w:p>
      <w:pPr>
        <w:pStyle w:val="Compact"/>
        <w:numPr>
          <w:ilvl w:val="0"/>
          <w:numId w:val="1005"/>
        </w:numPr>
      </w:pPr>
      <w:r>
        <w:rPr>
          <w:b/>
          <w:bCs/>
        </w:rPr>
        <w:t xml:space="preserve">Prediction markets / ForecastEx:</w:t>
      </w:r>
      <w:r>
        <w:t xml:space="preserve"> </w:t>
      </w:r>
      <w:r>
        <w:t xml:space="preserve">Peterffy remains bullish; new "Election Board" tool ahead of the 2026 U.S. midterms, plus a unified prediction-markets platform. Watch for institutional onboarding progress.</w:t>
      </w:r>
    </w:p>
    <w:p>
      <w:pPr>
        <w:pStyle w:val="Compact"/>
        <w:numPr>
          <w:ilvl w:val="0"/>
          <w:numId w:val="1005"/>
        </w:numPr>
      </w:pPr>
      <w:r>
        <w:rPr>
          <w:b/>
          <w:bCs/>
        </w:rPr>
        <w:t xml:space="preserve">AI initiatives:</w:t>
      </w:r>
      <w:r>
        <w:t xml:space="preserve"> </w:t>
      </w:r>
      <w:r>
        <w:t xml:space="preserve">internal automation (onboarding, compliance, client service chatbot) supporting the industry-leading ~$/employee productivity — a margin story more than a revenue one.</w:t>
      </w:r>
    </w:p>
    <w:p>
      <w:pPr>
        <w:pStyle w:val="Compact"/>
        <w:numPr>
          <w:ilvl w:val="0"/>
          <w:numId w:val="1005"/>
        </w:numPr>
      </w:pPr>
      <w:r>
        <w:rPr>
          <w:b/>
          <w:bCs/>
        </w:rPr>
        <w:t xml:space="preserve">Overnight trading</w:t>
      </w:r>
      <w:r>
        <w:t xml:space="preserve"> </w:t>
      </w:r>
      <w:r>
        <w:t xml:space="preserve">(nearly tripled YoY in Q1) and the</w:t>
      </w:r>
      <w:r>
        <w:t xml:space="preserve"> </w:t>
      </w:r>
      <w:r>
        <w:rPr>
          <w:b/>
          <w:bCs/>
        </w:rPr>
        <w:t xml:space="preserve">introducing-broker / prime-brokerage pipelines</w:t>
      </w:r>
      <w:r>
        <w:t xml:space="preserve"> </w:t>
      </w:r>
      <w:r>
        <w:t xml:space="preserve">as structural account-growth drivers.</w:t>
      </w:r>
    </w:p>
    <w:p>
      <w:r>
        <w:pict>
          <v:rect style="width:0;height:1.5pt" o:hralign="center" o:hrstd="t" o:hr="t"/>
        </w:pict>
      </w:r>
    </w:p>
    <w:bookmarkEnd w:id="14"/>
    <w:bookmarkStart w:id="15" w:name="X86a1ef897336708781be20c706d7abf1ad434f1"/>
    <w:p>
      <w:pPr>
        <w:pStyle w:val="Heading2"/>
      </w:pPr>
      <w:r>
        <w:t xml:space="preserve">7. Capital return</w:t>
      </w:r>
    </w:p>
    <w:p>
      <w:pPr>
        <w:pStyle w:val="FirstParagraph"/>
      </w:pPr>
      <w:r>
        <w:t xml:space="preserve">IBKR</w:t>
      </w:r>
      <w:r>
        <w:t xml:space="preserve"> </w:t>
      </w:r>
      <w:r>
        <w:rPr>
          <w:b/>
          <w:bCs/>
        </w:rPr>
        <w:t xml:space="preserve">raised its quarterly dividend to $0.0875 (from $0.08)</w:t>
      </w:r>
      <w:r>
        <w:t xml:space="preserve"> </w:t>
      </w:r>
      <w:r>
        <w:t xml:space="preserve">in Q1, its second recent increase (annualized $0.35). Total equity was $21.3B with</w:t>
      </w:r>
      <w:r>
        <w:t xml:space="preserve"> </w:t>
      </w:r>
      <w:r>
        <w:rPr>
          <w:b/>
          <w:bCs/>
        </w:rPr>
        <w:t xml:space="preserve">no long-term debt</w:t>
      </w:r>
      <w:r>
        <w:t xml:space="preserve">. Don't expect buybacks (Peterffy prefers a fortress balance sheet to win institutional/IB business), but watch for any further dividend/capital-allocation commentary given the earnings and equity growth.</w:t>
      </w:r>
    </w:p>
    <w:p>
      <w:r>
        <w:pict>
          <v:rect style="width:0;height:1.5pt" o:hralign="center" o:hrstd="t" o:hr="t"/>
        </w:pict>
      </w:r>
    </w:p>
    <w:bookmarkEnd w:id="15"/>
    <w:bookmarkStart w:id="16" w:name="Xb9e4741cb6b8b08e5d87352cefb20e82b4d198e"/>
    <w:p>
      <w:pPr>
        <w:pStyle w:val="Heading2"/>
      </w:pPr>
      <w:r>
        <w:t xml:space="preserve">8. Stock context &amp; how to think about the reaction</w:t>
      </w:r>
    </w:p>
    <w:p>
      <w:pPr>
        <w:pStyle w:val="Compact"/>
        <w:numPr>
          <w:ilvl w:val="0"/>
          <w:numId w:val="1006"/>
        </w:numPr>
      </w:pPr>
      <w:r>
        <w:t xml:space="preserve">IBKR has been a strong performer: shares climbed from the</w:t>
      </w:r>
      <w:r>
        <w:t xml:space="preserve"> </w:t>
      </w:r>
      <w:r>
        <w:rPr>
          <w:b/>
          <w:bCs/>
        </w:rPr>
        <w:t xml:space="preserve">~</w:t>
      </w:r>
      <m:oMath>
        <m:r>
          <m:t>63</m:t>
        </m:r>
        <m:r>
          <m:rPr>
            <m:sty m:val="p"/>
          </m:rPr>
          <m:t>–</m:t>
        </m:r>
        <m:r>
          <m:t>67</m:t>
        </m:r>
        <m:r>
          <m:t>r</m:t>
        </m:r>
        <m:r>
          <m:t>a</m:t>
        </m:r>
        <m:r>
          <m:t>n</m:t>
        </m:r>
        <m:r>
          <m:t>g</m:t>
        </m:r>
        <m:r>
          <m:t>e</m:t>
        </m:r>
        <m:r>
          <m:t>i</m:t>
        </m:r>
        <m:r>
          <m:t>n</m:t>
        </m:r>
        <m:r>
          <m:t>l</m:t>
        </m:r>
        <m:r>
          <m:t>a</m:t>
        </m:r>
        <m:r>
          <m:t>t</m:t>
        </m:r>
        <m:r>
          <m:t>e</m:t>
        </m:r>
        <m:r>
          <m:t>M</m:t>
        </m:r>
        <m:r>
          <m:t>a</m:t>
        </m:r>
        <m:r>
          <m:t>r</m:t>
        </m:r>
        <m:r>
          <m:t>c</m:t>
        </m:r>
        <m:r>
          <m:t>h</m:t>
        </m:r>
        <m:r>
          <m:t>t</m:t>
        </m:r>
        <m:r>
          <m:t>o</m:t>
        </m:r>
        <m:r>
          <m:t>a</m:t>
        </m:r>
        <m:r>
          <m:t>n</m:t>
        </m:r>
        <m:r>
          <m:t>a</m:t>
        </m:r>
        <m:r>
          <m:t>l</m:t>
        </m:r>
        <m:r>
          <m:t>l</m:t>
        </m:r>
        <m:r>
          <m:rPr>
            <m:sty m:val="p"/>
          </m:rPr>
          <m:t>−</m:t>
        </m:r>
        <m:r>
          <m:t>t</m:t>
        </m:r>
        <m:r>
          <m:t>i</m:t>
        </m:r>
        <m:r>
          <m:t>m</m:t>
        </m:r>
        <m:r>
          <m:t>e</m:t>
        </m:r>
        <m:r>
          <m:t>h</m:t>
        </m:r>
        <m:r>
          <m:t>i</m:t>
        </m:r>
        <m:r>
          <m:t>g</m:t>
        </m:r>
        <m:r>
          <m:t>h</m:t>
        </m:r>
        <m:r>
          <m:t> </m:t>
        </m:r>
      </m:oMath>
      <w:r>
        <w:rPr>
          <w:b/>
          <w:bCs/>
        </w:rPr>
        <w:t xml:space="preserve">97 in mid-July</w:t>
      </w:r>
      <w:r>
        <w:t xml:space="preserve">, before easing to</w:t>
      </w:r>
      <w:r>
        <w:t xml:space="preserve"> </w:t>
      </w:r>
      <w:r>
        <w:rPr>
          <w:b/>
          <w:bCs/>
        </w:rPr>
        <w:t xml:space="preserve">~$91.70 on July 20</w:t>
      </w:r>
      <w:r>
        <w:t xml:space="preserve">. It's up ~30%+ over six months and trades near record highs.</w:t>
      </w:r>
    </w:p>
    <w:p>
      <w:pPr>
        <w:pStyle w:val="Compact"/>
        <w:numPr>
          <w:ilvl w:val="0"/>
          <w:numId w:val="1006"/>
        </w:numPr>
      </w:pPr>
      <w:r>
        <w:rPr>
          <w:b/>
          <w:bCs/>
        </w:rPr>
        <w:t xml:space="preserve">The bar is high.</w:t>
      </w:r>
      <w:r>
        <w:t xml:space="preserve"> </w:t>
      </w:r>
      <w:r>
        <w:t xml:space="preserve">With the monthly metrics already known and estimates/targets rising into the print, a simple in-line beat may not be enough — the market will focus on (1)</w:t>
      </w:r>
      <w:r>
        <w:t xml:space="preserve"> </w:t>
      </w:r>
      <w:r>
        <w:rPr>
          <w:b/>
          <w:bCs/>
        </w:rPr>
        <w:t xml:space="preserve">NII/NIM trajectory and rate guidance</w:t>
      </w:r>
      <w:r>
        <w:t xml:space="preserve">, (2)</w:t>
      </w:r>
      <w:r>
        <w:t xml:space="preserve"> </w:t>
      </w:r>
      <w:r>
        <w:rPr>
          <w:b/>
          <w:bCs/>
        </w:rPr>
        <w:t xml:space="preserve">incremental margin</w:t>
      </w:r>
      <w:r>
        <w:t xml:space="preserve"> </w:t>
      </w:r>
      <w:r>
        <w:t xml:space="preserve">(expense discipline vs. ad spend), and (3) any acceleration signal from PDT/new products.</w:t>
      </w:r>
    </w:p>
    <w:p>
      <w:pPr>
        <w:pStyle w:val="FirstParagraph"/>
      </w:pPr>
      <w:r>
        <w:rPr>
          <w:b/>
          <w:bCs/>
        </w:rPr>
        <w:t xml:space="preserve">Bull case for the print:</w:t>
      </w:r>
      <w:r>
        <w:t xml:space="preserve"> </w:t>
      </w:r>
      <w:r>
        <w:t xml:space="preserve">record volumes + record balances + margin-loan surge drive an NII/commission double-beat, margins hold &gt;75%, and management sounds confident on account growth and new-product optionality.</w:t>
      </w:r>
    </w:p>
    <w:p>
      <w:pPr>
        <w:pStyle w:val="BodyText"/>
      </w:pPr>
      <w:r>
        <w:rPr>
          <w:b/>
          <w:bCs/>
        </w:rPr>
        <w:t xml:space="preserve">Bear/risk case:</w:t>
      </w:r>
      <w:r>
        <w:t xml:space="preserve"> </w:t>
      </w:r>
      <w:r>
        <w:t xml:space="preserve">the beat is "lower quality" (pass-through fees, softening commission capture), NIM compresses further and management flags rate-cut headwinds into 2H, and ad/expense growth caps margins — leaving a richly valued, near-highs stock vulnerable to a "sell-the-news" pullback.</w:t>
      </w:r>
    </w:p>
    <w:p>
      <w:r>
        <w:pict>
          <v:rect style="width:0;height:1.5pt" o:hralign="center" o:hrstd="t" o:hr="t"/>
        </w:pict>
      </w:r>
    </w:p>
    <w:p>
      <w:pPr>
        <w:pStyle w:val="FirstParagraph"/>
      </w:pPr>
      <w:r>
        <w:rPr>
          <w:i/>
          <w:iCs/>
        </w:rPr>
        <w:t xml:space="preserve">Sources: IBKR 1Q2026 and 2Q2025 earnings releases and the 1Q2026 earnings call transcript (financial-documents); IBKR April/May/June 2026 monthly brokerage-metrics releases and analyst/preview coverage (Zacks, Barchart, BofA, Investing.com) via web search; price history via market data. Consensus figures are third-party estimates and vary by source.</w:t>
      </w:r>
    </w:p>
    <w:p>
      <w:pPr>
        <w:pStyle w:val="BodyText"/>
      </w:pPr>
      <w:r>
        <w:t xml:space="preserve">Want me to build a one-page model/scorecard (consensus vs. implied-from-metrics for commissions, NII, and EPS) you can mark up live during the call?</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2026-07-21T01:42:59Z</dcterms:created>
  <dcterms:modified xsi:type="dcterms:W3CDTF">2026-07-21T01:42:59Z</dcterms:modified>
</cp:coreProperties>
</file>

<file path=docProps/custom.xml><?xml version="1.0" encoding="utf-8"?>
<Properties xmlns="http://schemas.openxmlformats.org/officeDocument/2006/custom-properties" xmlns:vt="http://schemas.openxmlformats.org/officeDocument/2006/docPropsVTypes"/>
</file>