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8" w:name="X181ba979c5402860d3fe9c1be68585ff6370f02"/>
    <w:p>
      <w:pPr>
        <w:pStyle w:val="Heading1"/>
      </w:pPr>
      <w:r>
        <w:t xml:space="preserve">Interactive Brokers (IBKR) — Q2 2026 Earnings Preview</w:t>
      </w:r>
    </w:p>
    <w:p>
      <w:pPr>
        <w:pStyle w:val="FirstParagraph"/>
      </w:pPr>
      <w:r>
        <w:rPr>
          <w:b/>
          <w:bCs/>
        </w:rPr>
        <w:t xml:space="preserve">Report date:</w:t>
      </w:r>
      <w:r>
        <w:t xml:space="preserve"> </w:t>
      </w:r>
      <w:r>
        <w:t xml:space="preserve">Tuesday, July 21, 2026 — release ~4:00pm ET, conference call at 4:30pm ET (fiscal quarter ended June 30, 2026)</w:t>
      </w:r>
    </w:p>
    <w:p>
      <w:r>
        <w:pict>
          <v:rect style="width:0;height:1.5pt" o:hralign="center" o:hrstd="t" o:hr="t"/>
        </w:pict>
      </w:r>
    </w:p>
    <w:bookmarkStart w:id="9" w:name="X573f7a65609b829649eb88deab33118fe76dc43"/>
    <w:p>
      <w:pPr>
        <w:pStyle w:val="Heading2"/>
      </w:pPr>
      <w:r>
        <w:t xml:space="preserve">1. Setup: Consensus and Recent Momentum</w:t>
      </w:r>
    </w:p>
    <w:p>
      <w:pPr>
        <w:pStyle w:val="FirstParagraph"/>
      </w:pPr>
      <w:r>
        <w:t xml:space="preserve">Wall Street enters the print looking for continued double-digit growth. The Zacks Consensus Estimate calls for EPS of $0.59, marking a 15.69% rise compared to the same quarter of the previous year, with revenue projected at $1.66 billion, up 12.16% from the year-ago period. Other trackers are slightly higher — TipRanks shows a Street EPS forecast of $0.63 for the quarter, and Zacks notes its own estimate has been revised 3.4% higher to 61 cents per share in the past seven days, with a positive Earnings ESP suggesting sell-side numbers may prove conservative. For the full year, consensus sits around $2.46 per share and $6.9 billion of revenue, signifying shifts of +12.33% and +12.14% versus 2025, with Barchart citing FY2026 adjusted EPS growth of 12.3% and a further 14.6% jump to $2.82 penciled in for FY2027.</w:t>
      </w:r>
    </w:p>
    <w:p>
      <w:pPr>
        <w:pStyle w:val="BodyText"/>
      </w:pPr>
      <w:r>
        <w:t xml:space="preserve">IBKR has a strong beat history: it has surpassed the Zacks Consensus Estimate in three of the trailing four quarters... the average surprise being 11.7%, though Zacks flags that the immediately prior quarter came in below its own model despite beating other trackers' consensus.</w:t>
      </w:r>
    </w:p>
    <w:bookmarkEnd w:id="9"/>
    <w:bookmarkStart w:id="10" w:name="X5e0591bc51918c6b2dd1abaf18ac64f9b8b10f8"/>
    <w:p>
      <w:pPr>
        <w:pStyle w:val="Heading2"/>
      </w:pPr>
      <w:r>
        <w:t xml:space="preserve">2. Q1 2026 Recap — The Baseline Coming In</w:t>
      </w:r>
    </w:p>
    <w:p>
      <w:pPr>
        <w:pStyle w:val="FirstParagraph"/>
      </w:pPr>
      <w:r>
        <w:t xml:space="preserve">Interactive Brokers' first quarter set the tone for an unusually strong year. The company posted</w:t>
      </w:r>
      <w:r>
        <w:t xml:space="preserve"> </w:t>
      </w:r>
      <w:r>
        <w:rPr>
          <w:b/>
          <w:bCs/>
        </w:rPr>
        <w:t xml:space="preserve">GAAP diluted EPS of</w:t>
      </w:r>
      <w:r>
        <w:rPr>
          <w:b/>
          <w:bCs/>
        </w:rPr>
        <w:t xml:space="preserve"> </w:t>
      </w:r>
      <m:oMath>
        <m:r>
          <m:t>0.59</m:t>
        </m:r>
        <m:r>
          <m:rPr>
            <m:sty m:val="p"/>
          </m:rPr>
          <m:t>(</m:t>
        </m:r>
      </m:oMath>
      <w:r>
        <w:rPr>
          <w:b/>
          <w:bCs/>
        </w:rPr>
        <w:t xml:space="preserve">0.60 adjusted)</w:t>
      </w:r>
      <w:r>
        <w:t xml:space="preserve"> </w:t>
      </w:r>
      <w:r>
        <w:t xml:space="preserve">on</w:t>
      </w:r>
      <w:r>
        <w:t xml:space="preserve"> </w:t>
      </w:r>
      <w:r>
        <w:rPr>
          <w:b/>
          <w:bCs/>
        </w:rPr>
        <w:t xml:space="preserve">record net revenues of $1.67 billion</w:t>
      </w:r>
      <w:r>
        <w:t xml:space="preserve">, with commission revenue up 19% to over $600 million for the first time and net interest income up 17% to $904 million. Pretax margin was</w:t>
      </w:r>
      <w:r>
        <w:t xml:space="preserve"> </w:t>
      </w:r>
      <w:r>
        <w:rPr>
          <w:b/>
          <w:bCs/>
        </w:rPr>
        <w:t xml:space="preserve">77%</w:t>
      </w:r>
      <w:r>
        <w:t xml:space="preserve">, marking the sixth straight quarter above 70%, and management raised the quarterly dividend from $0.08 to</w:t>
      </w:r>
      <w:r>
        <w:t xml:space="preserve"> </w:t>
      </w:r>
      <m:oMath>
        <m:r>
          <m:t>0.0875</m:t>
        </m:r>
        <m:r>
          <m:rPr>
            <m:sty m:val="p"/>
          </m:rPr>
          <m:t>(</m:t>
        </m:r>
      </m:oMath>
      <w:r>
        <w:t xml:space="preserve">0.35 annualized). Customer accounts grew 31% YoY to 4.75 million, customer equity rose 38% to $789.4 billion, and total DARTs rose 24% to 4.37 million.</w:t>
      </w:r>
    </w:p>
    <w:bookmarkEnd w:id="10"/>
    <w:bookmarkStart w:id="11" w:name="X912789ac46ed5b00b75c802c3664096a20edf2d"/>
    <w:p>
      <w:pPr>
        <w:pStyle w:val="Heading2"/>
      </w:pPr>
      <w:r>
        <w:t xml:space="preserve">3. What the Monthly Metrics Say About Q2</w:t>
      </w:r>
    </w:p>
    <w:p>
      <w:pPr>
        <w:pStyle w:val="FirstParagraph"/>
      </w:pPr>
      <w:r>
        <w:t xml:space="preserve">IBKR's monthly brokerage-metrics releases (April, May, June) give investors an unusually clear read into the quarter before results even land, and they show</w:t>
      </w:r>
      <w:r>
        <w:t xml:space="preserve"> </w:t>
      </w:r>
      <w:r>
        <w:rPr>
          <w:b/>
          <w:bCs/>
        </w:rPr>
        <w:t xml:space="preserve">acceleration</w:t>
      </w:r>
      <w:r>
        <w:t xml:space="preserve">, not deceleration, through Q2:</w:t>
      </w:r>
    </w:p>
    <w:tbl>
      <w:tblPr>
        <w:tblStyle w:val="Table"/>
        <w:tblW w:type="auto" w:w="0"/>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pPr>
            <w:r>
              <w:t xml:space="preserve">Month</w:t>
            </w:r>
          </w:p>
        </w:tc>
        <w:tc>
          <w:tcPr/>
          <w:p>
            <w:pPr>
              <w:pStyle w:val="Compact"/>
            </w:pPr>
            <w:r>
              <w:t xml:space="preserve">DARTs (mm)</w:t>
            </w:r>
          </w:p>
        </w:tc>
        <w:tc>
          <w:tcPr/>
          <w:p>
            <w:pPr>
              <w:pStyle w:val="Compact"/>
            </w:pPr>
            <w:r>
              <w:t xml:space="preserve">YoY</w:t>
            </w:r>
          </w:p>
        </w:tc>
        <w:tc>
          <w:tcPr/>
          <w:p>
            <w:pPr>
              <w:pStyle w:val="Compact"/>
            </w:pPr>
            <w:r>
              <w:t xml:space="preserve">MoM</w:t>
            </w:r>
          </w:p>
        </w:tc>
        <w:tc>
          <w:tcPr/>
          <w:p>
            <w:pPr>
              <w:pStyle w:val="Compact"/>
            </w:pPr>
            <w:r>
              <w:t xml:space="preserve">Client Equity ($B)</w:t>
            </w:r>
          </w:p>
        </w:tc>
        <w:tc>
          <w:tcPr/>
          <w:p>
            <w:pPr>
              <w:pStyle w:val="Compact"/>
            </w:pPr>
            <w:r>
              <w:t xml:space="preserve">Margin Loans ($B)</w:t>
            </w:r>
          </w:p>
        </w:tc>
      </w:tr>
      <w:tr>
        <w:tc>
          <w:tcPr/>
          <w:p>
            <w:pPr>
              <w:pStyle w:val="Compact"/>
            </w:pPr>
            <w:r>
              <w:t xml:space="preserve">April 2026</w:t>
            </w:r>
          </w:p>
        </w:tc>
        <w:tc>
          <w:tcPr/>
          <w:p>
            <w:pPr>
              <w:pStyle w:val="Compact"/>
            </w:pPr>
            <w:r>
              <w:t xml:space="preserve">4.241</w:t>
            </w:r>
          </w:p>
        </w:tc>
        <w:tc>
          <w:tcPr/>
          <w:p>
            <w:pPr>
              <w:pStyle w:val="Compact"/>
            </w:pPr>
            <w:r>
              <w:t xml:space="preserve">+11%</w:t>
            </w:r>
          </w:p>
        </w:tc>
        <w:tc>
          <w:tcPr/>
          <w:p>
            <w:pPr>
              <w:pStyle w:val="Compact"/>
            </w:pPr>
            <w:r>
              <w:t xml:space="preserve">-2%</w:t>
            </w:r>
          </w:p>
        </w:tc>
        <w:tc>
          <w:tcPr/>
          <w:p>
            <w:pPr>
              <w:pStyle w:val="Compact"/>
            </w:pPr>
            <w:r>
              <w:t xml:space="preserve">870.9 (+48% YoY)</w:t>
            </w:r>
          </w:p>
        </w:tc>
        <w:tc>
          <w:tcPr/>
          <w:p>
            <w:pPr>
              <w:pStyle w:val="Compact"/>
            </w:pPr>
            <w:r>
              <w:t xml:space="preserve">91.3 (+57% YoY)</w:t>
            </w:r>
          </w:p>
        </w:tc>
      </w:tr>
      <w:tr>
        <w:tc>
          <w:tcPr/>
          <w:p>
            <w:pPr>
              <w:pStyle w:val="Compact"/>
            </w:pPr>
            <w:r>
              <w:t xml:space="preserve">May 2026</w:t>
            </w:r>
          </w:p>
        </w:tc>
        <w:tc>
          <w:tcPr/>
          <w:p>
            <w:pPr>
              <w:pStyle w:val="Compact"/>
            </w:pPr>
            <w:r>
              <w:t xml:space="preserve">4.969</w:t>
            </w:r>
          </w:p>
        </w:tc>
        <w:tc>
          <w:tcPr/>
          <w:p>
            <w:pPr>
              <w:pStyle w:val="Compact"/>
            </w:pPr>
            <w:r>
              <w:t xml:space="preserve">+47%</w:t>
            </w:r>
          </w:p>
        </w:tc>
        <w:tc>
          <w:tcPr/>
          <w:p>
            <w:pPr>
              <w:pStyle w:val="Compact"/>
            </w:pPr>
            <w:r>
              <w:t xml:space="preserve">+17%</w:t>
            </w:r>
          </w:p>
        </w:tc>
        <w:tc>
          <w:tcPr/>
          <w:p>
            <w:pPr>
              <w:pStyle w:val="Compact"/>
            </w:pPr>
            <w:r>
              <w:t xml:space="preserve">937.3 (+49% YoY)</w:t>
            </w:r>
          </w:p>
        </w:tc>
        <w:tc>
          <w:tcPr/>
          <w:p>
            <w:pPr>
              <w:pStyle w:val="Compact"/>
            </w:pPr>
            <w:r>
              <w:t xml:space="preserve">100.9 (+65% YoY)</w:t>
            </w:r>
          </w:p>
        </w:tc>
      </w:tr>
      <w:tr>
        <w:tc>
          <w:tcPr/>
          <w:p>
            <w:pPr>
              <w:pStyle w:val="Compact"/>
            </w:pPr>
            <w:r>
              <w:t xml:space="preserve">June 2026</w:t>
            </w:r>
          </w:p>
        </w:tc>
        <w:tc>
          <w:tcPr/>
          <w:p>
            <w:pPr>
              <w:pStyle w:val="Compact"/>
            </w:pPr>
            <w:r>
              <w:t xml:space="preserve">5.269</w:t>
            </w:r>
          </w:p>
        </w:tc>
        <w:tc>
          <w:tcPr/>
          <w:p>
            <w:pPr>
              <w:pStyle w:val="Compact"/>
            </w:pPr>
            <w:r>
              <w:t xml:space="preserve">+53%</w:t>
            </w:r>
          </w:p>
        </w:tc>
        <w:tc>
          <w:tcPr/>
          <w:p>
            <w:pPr>
              <w:pStyle w:val="Compact"/>
            </w:pPr>
            <w:r>
              <w:t xml:space="preserve">+6%</w:t>
            </w:r>
          </w:p>
        </w:tc>
        <w:tc>
          <w:tcPr/>
          <w:p>
            <w:pPr>
              <w:pStyle w:val="Compact"/>
            </w:pPr>
            <w:r>
              <w:t xml:space="preserve">930.3 (+40% YoY)</w:t>
            </w:r>
          </w:p>
        </w:tc>
        <w:tc>
          <w:tcPr/>
          <w:p>
            <w:pPr>
              <w:pStyle w:val="Compact"/>
            </w:pPr>
            <w:r>
              <w:t xml:space="preserve">108.5 (+67% YoY)</w:t>
            </w:r>
          </w:p>
        </w:tc>
      </w:tr>
    </w:tbl>
    <w:p>
      <w:pPr>
        <w:pStyle w:val="BodyText"/>
      </w:pPr>
      <w:r>
        <w:t xml:space="preserve">By June, ending client equity of $930.3 billion, 40% higher than prior year and 1% lower than prior month, and ending client margin loan balances of $108.5 billion, 67% higher than prior year and 8% higher than prior month, while total client DARTs in June were 5,269,000, representing a 53% increase from June 2025 and a 6% rise from May 2026, with client credit balances of $182.4 billion, up 27% from June 2025 and 1% from the May 2026 level. Averaging the three months puts Q2 DARTs at roughly 4.83 million — up about 36% year-over-year and ~11% sequentially versus Q1's 4.37 million average — which is the strongest quarterly trading-activity trend IBKR has shown in some time. A Zacks preview attributes this to a broad-based pickup: heightened volatility encouraged trading across equities, options, fixed income, foreign exchange and commodities, consistent with the elevated geopolitical and macro volatility (Middle East tensions, tariff headlines) that ran through the spring.</w:t>
      </w:r>
    </w:p>
    <w:p>
      <w:pPr>
        <w:pStyle w:val="BodyText"/>
      </w:pPr>
      <w:r>
        <w:t xml:space="preserve">Margin loan growth (+67% YoY, exiting the quarter at $108.5B) is the standout balance-sheet metric — it directly drives net interest income and suggests clients kept adding leverage even as equity indices wobbled.</w:t>
      </w:r>
    </w:p>
    <w:bookmarkEnd w:id="11"/>
    <w:bookmarkStart w:id="12" w:name="Xd27e7178f7b248e13987c7f78e4c3294fd2bf65"/>
    <w:p>
      <w:pPr>
        <w:pStyle w:val="Heading2"/>
      </w:pPr>
      <w:r>
        <w:t xml:space="preserve">4. Net Interest Income — The Rate Backdrop Is a Tailwind, Not a Headwind</w:t>
      </w:r>
    </w:p>
    <w:p>
      <w:pPr>
        <w:pStyle w:val="FirstParagraph"/>
      </w:pPr>
      <w:r>
        <w:t xml:space="preserve">Unlike prior quarters when falling Fed policy rates crimped NII per dollar of balances, the setup into Q2 2026 is more favorable: the FOMC has now held its target range at 3.50%–3.75% through its June 17 meeting, and updated projections under new Fed Chair Kevin Warsh have leaned more hawkish, with the median 2026 dot revised up rather than down. That means the sharp balance growth (margin loans +67% YoY, client credits +27% YoY) should flow through to NII largely unoffset by rate declines this quarter — a reversal of the dynamic management flagged on the Q1 call, where it estimated a 25bp US rate cut would reduce annualized NII by ~</w:t>
      </w:r>
      <m:oMath>
        <m:r>
          <m:t>80</m:t>
        </m:r>
        <m:r>
          <m:t>m</m:t>
        </m:r>
        <m:r>
          <m:t>i</m:t>
        </m:r>
        <m:r>
          <m:t>l</m:t>
        </m:r>
        <m:r>
          <m:t>l</m:t>
        </m:r>
        <m:r>
          <m:t>i</m:t>
        </m:r>
        <m:r>
          <m:t>o</m:t>
        </m:r>
        <m:r>
          <m:t>n</m:t>
        </m:r>
        <m:r>
          <m:rPr>
            <m:sty m:val="p"/>
          </m:rPr>
          <m:t>(</m:t>
        </m:r>
        <m:r>
          <m:t>p</m:t>
        </m:r>
        <m:r>
          <m:t>l</m:t>
        </m:r>
        <m:r>
          <m:t>u</m:t>
        </m:r>
        <m:r>
          <m:t>s</m:t>
        </m:r>
        <m:r>
          <m:t> </m:t>
        </m:r>
      </m:oMath>
      <w:r>
        <w:t xml:space="preserve">35 million for a 25bp move in non-USD rates). Watch for commentary on securities lending net interest (a meaningful swing factor last quarter, contributing to a $270 million "true" securities-lending revenue run rate) and on the April 4 SEC fee-rate increase (from $0 to $20.60/million) — a pass-through that inflates both commission revenue and execution/clearing expense with no net income impact, but affects headline comparability.</w:t>
      </w:r>
    </w:p>
    <w:bookmarkEnd w:id="12"/>
    <w:bookmarkStart w:id="13" w:name="Xa186373d0aac0cab70948616c298465722ddb8e"/>
    <w:p>
      <w:pPr>
        <w:pStyle w:val="Heading2"/>
      </w:pPr>
      <w:r>
        <w:t xml:space="preserve">5. Expenses, Margins, and Capital Return</w:t>
      </w:r>
    </w:p>
    <w:p>
      <w:pPr>
        <w:pStyle w:val="FirstParagraph"/>
      </w:pPr>
      <w:r>
        <w:t xml:space="preserve">IBKR has kept compensation expense near 10% of adjusted net revenue and has been "hell bent" (Chairman Peterffy's words on the Q1 call) on scaling marketing spend, but only where it clears required return hurdles — a discipline that has supported the industry-leading 70%+ pretax margins for six straight quarters. Watch for:</w:t>
      </w:r>
    </w:p>
    <w:p>
      <w:pPr>
        <w:pStyle w:val="Compact"/>
        <w:numPr>
          <w:ilvl w:val="0"/>
          <w:numId w:val="1001"/>
        </w:numPr>
      </w:pPr>
      <w:r>
        <w:t xml:space="preserve">Whether Q2's calendar-related comp step-up (stock-vesting FICA taxes typically hit Q2) pressures margins versus Q1's 77%.</w:t>
      </w:r>
    </w:p>
    <w:p>
      <w:pPr>
        <w:pStyle w:val="Compact"/>
        <w:numPr>
          <w:ilvl w:val="0"/>
          <w:numId w:val="1001"/>
        </w:numPr>
      </w:pPr>
      <w:r>
        <w:t xml:space="preserve">Advertising spend trends tied to the "average account outperformed the S&amp;P" campaign.</w:t>
      </w:r>
    </w:p>
    <w:p>
      <w:pPr>
        <w:pStyle w:val="Compact"/>
        <w:numPr>
          <w:ilvl w:val="0"/>
          <w:numId w:val="1001"/>
        </w:numPr>
      </w:pPr>
      <w:r>
        <w:t xml:space="preserve">Any further dividend action — the board already lifted the payout meaningfully in Q1 (to $0.35/year) citing confidence in the capital base.</w:t>
      </w:r>
    </w:p>
    <w:p>
      <w:pPr>
        <w:pStyle w:val="Compact"/>
        <w:numPr>
          <w:ilvl w:val="0"/>
          <w:numId w:val="1001"/>
        </w:numPr>
      </w:pPr>
      <w:r>
        <w:t xml:space="preserve">Total equity/assets growth: total assets were already up 39% YoY to $219B and firm equity up 23% to $21.3B as of Q1; expect both to have grown further given the balance-sheet trends above.</w:t>
      </w:r>
    </w:p>
    <w:bookmarkEnd w:id="13"/>
    <w:bookmarkStart w:id="14" w:name="X681d052a90b4dd4e486c5c87733b39a4f73543a"/>
    <w:p>
      <w:pPr>
        <w:pStyle w:val="Heading2"/>
      </w:pPr>
      <w:r>
        <w:t xml:space="preserve">6. Strategic Storylines to Listen For</w:t>
      </w:r>
    </w:p>
    <w:p>
      <w:pPr>
        <w:pStyle w:val="Compact"/>
        <w:numPr>
          <w:ilvl w:val="0"/>
          <w:numId w:val="1002"/>
        </w:numPr>
      </w:pPr>
      <w:r>
        <w:rPr>
          <w:b/>
          <w:bCs/>
        </w:rPr>
        <w:t xml:space="preserve">Pattern Day Trader rule repeal</w:t>
      </w:r>
      <w:r>
        <w:t xml:space="preserve">: Management called the SEC's elimination of the PDT rule an opportunity, since the majority of IBKR's accounts are individual accounts that could now trade more frequently — potential upside to DARTs and account growth commentary.</w:t>
      </w:r>
    </w:p>
    <w:p>
      <w:pPr>
        <w:pStyle w:val="Compact"/>
        <w:numPr>
          <w:ilvl w:val="0"/>
          <w:numId w:val="1002"/>
        </w:numPr>
      </w:pPr>
      <w:r>
        <w:rPr>
          <w:b/>
          <w:bCs/>
        </w:rPr>
        <w:t xml:space="preserve">Crypto build-out</w:t>
      </w:r>
      <w:r>
        <w:t xml:space="preserve">: EEA crypto expansion (with partner Zero Hash), inbound crypto-transfer capability, and the new Coinbase Derivatives Exchange integration for perpetual futures are all early-stage; look for updates on adoption and any staking-product timeline.</w:t>
      </w:r>
    </w:p>
    <w:p>
      <w:pPr>
        <w:pStyle w:val="Compact"/>
        <w:numPr>
          <w:ilvl w:val="0"/>
          <w:numId w:val="1002"/>
        </w:numPr>
      </w:pPr>
      <w:r>
        <w:rPr>
          <w:b/>
          <w:bCs/>
        </w:rPr>
        <w:t xml:space="preserve">Prediction markets (ForecastEx)</w:t>
      </w:r>
      <w:r>
        <w:t xml:space="preserve">: Chairman Peterffy has framed this as a long-term, potentially "huge" opportunity, including growing institutional interest — any update on volumes or new members would be notable.</w:t>
      </w:r>
    </w:p>
    <w:p>
      <w:pPr>
        <w:pStyle w:val="Compact"/>
        <w:numPr>
          <w:ilvl w:val="0"/>
          <w:numId w:val="1002"/>
        </w:numPr>
      </w:pPr>
      <w:r>
        <w:rPr>
          <w:b/>
          <w:bCs/>
        </w:rPr>
        <w:t xml:space="preserve">AI initiatives</w:t>
      </w:r>
      <w:r>
        <w:t xml:space="preserve">: Ask IBKR, AI-assisted research/"themes," and a multilingual AI chatbot are being scaled for both client experience and cost efficiency.</w:t>
      </w:r>
    </w:p>
    <w:p>
      <w:pPr>
        <w:pStyle w:val="Compact"/>
        <w:numPr>
          <w:ilvl w:val="0"/>
          <w:numId w:val="1002"/>
        </w:numPr>
      </w:pPr>
      <w:r>
        <w:rPr>
          <w:b/>
          <w:bCs/>
        </w:rPr>
        <w:t xml:space="preserve">Overnight trading</w:t>
      </w:r>
      <w:r>
        <w:t xml:space="preserve">: nearly tripled YoY in Q1 (8.1M trades vs. 2.8M); a read on continued growth would reinforce IBKR's global/24-hour positioning.</w:t>
      </w:r>
    </w:p>
    <w:bookmarkEnd w:id="14"/>
    <w:bookmarkStart w:id="15" w:name="X561ab2462985e6ac712112eb2fb3db8ef94a233"/>
    <w:p>
      <w:pPr>
        <w:pStyle w:val="Heading2"/>
      </w:pPr>
      <w:r>
        <w:t xml:space="preserve">7. Stock Price Context and Valuation</w:t>
      </w:r>
    </w:p>
    <w:p>
      <w:pPr>
        <w:pStyle w:val="FirstParagraph"/>
      </w:pPr>
      <w:r>
        <w:t xml:space="preserve">IBKR shares have been one of the market's stronger financial-sector performers, rallying from roughly the mid-$60s at the start of 2026 to an intraquarter high near</w:t>
      </w:r>
      <w:r>
        <w:t xml:space="preserve"> </w:t>
      </w:r>
      <m:oMath>
        <m:r>
          <m:t>97</m:t>
        </m:r>
        <m:r>
          <m:t>i</m:t>
        </m:r>
        <m:r>
          <m:t>n</m:t>
        </m:r>
        <m:r>
          <m:t>m</m:t>
        </m:r>
        <m:r>
          <m:t>i</m:t>
        </m:r>
        <m:r>
          <m:t>d</m:t>
        </m:r>
        <m:r>
          <m:rPr>
            <m:sty m:val="p"/>
          </m:rPr>
          <m:t>−</m:t>
        </m:r>
        <m:r>
          <m:t>J</m:t>
        </m:r>
        <m:r>
          <m:t>u</m:t>
        </m:r>
        <m:r>
          <m:t>l</m:t>
        </m:r>
        <m:r>
          <m:t>y</m:t>
        </m:r>
        <m:r>
          <m:t>b</m:t>
        </m:r>
        <m:r>
          <m:t>e</m:t>
        </m:r>
        <m:r>
          <m:t>f</m:t>
        </m:r>
        <m:r>
          <m:t>o</m:t>
        </m:r>
        <m:r>
          <m:t>r</m:t>
        </m:r>
        <m:r>
          <m:t>e</m:t>
        </m:r>
        <m:r>
          <m:t>p</m:t>
        </m:r>
        <m:r>
          <m:t>u</m:t>
        </m:r>
        <m:r>
          <m:t>l</m:t>
        </m:r>
        <m:r>
          <m:t>l</m:t>
        </m:r>
        <m:r>
          <m:t>i</m:t>
        </m:r>
        <m:r>
          <m:t>n</m:t>
        </m:r>
        <m:r>
          <m:t>g</m:t>
        </m:r>
        <m:r>
          <m:t>b</m:t>
        </m:r>
        <m:r>
          <m:t>a</m:t>
        </m:r>
        <m:r>
          <m:t>c</m:t>
        </m:r>
        <m:r>
          <m:t>k</m:t>
        </m:r>
        <m:r>
          <m:t>m</m:t>
        </m:r>
        <m:r>
          <m:t>o</m:t>
        </m:r>
        <m:r>
          <m:t>d</m:t>
        </m:r>
        <m:r>
          <m:t>e</m:t>
        </m:r>
        <m:r>
          <m:t>s</m:t>
        </m:r>
        <m:r>
          <m:t>t</m:t>
        </m:r>
        <m:r>
          <m:t>l</m:t>
        </m:r>
        <m:r>
          <m:t>y</m:t>
        </m:r>
        <m:r>
          <m:t>t</m:t>
        </m:r>
        <m:r>
          <m:t>o</m:t>
        </m:r>
        <m:r>
          <m:t> </m:t>
        </m:r>
      </m:oMath>
      <w:r>
        <w:t xml:space="preserve">91.70 heading into the print — a run Barchart pegs at 68.8% over the past 52 weeks, surpassing the S&amp;P 500 Index's gain over the same span. That backdrop raises the bar for the print: strong operating metrics are already reasonably well telegraphed by the monthly disclosures, so the market's reaction may hinge more on forward commentary (rate sensitivity, expense trajectory, account-growth durability) than on the headline beat/miss itself, especially with shares trading well above where they started the year and consensus already expecting mid-teens EPS growth.</w:t>
      </w:r>
    </w:p>
    <w:bookmarkEnd w:id="15"/>
    <w:bookmarkStart w:id="16" w:name="X8cbfebce0a3fda4b2134e14032b78d35e08aed9"/>
    <w:p>
      <w:pPr>
        <w:pStyle w:val="Heading2"/>
      </w:pPr>
      <w:r>
        <w:t xml:space="preserve">8. Key Risks Into the Print</w:t>
      </w:r>
    </w:p>
    <w:p>
      <w:pPr>
        <w:pStyle w:val="Compact"/>
        <w:numPr>
          <w:ilvl w:val="0"/>
          <w:numId w:val="1003"/>
        </w:numPr>
      </w:pPr>
      <w:r>
        <w:rPr>
          <w:b/>
          <w:bCs/>
        </w:rPr>
        <w:t xml:space="preserve">Expense catch-up</w:t>
      </w:r>
      <w:r>
        <w:t xml:space="preserve">: calendar-driven comp costs and continued advertising ramp could compress the pretax margin sequentially from Q1's 77%.</w:t>
      </w:r>
    </w:p>
    <w:p>
      <w:pPr>
        <w:pStyle w:val="Compact"/>
        <w:numPr>
          <w:ilvl w:val="0"/>
          <w:numId w:val="1003"/>
        </w:numPr>
      </w:pPr>
      <w:r>
        <w:rPr>
          <w:b/>
          <w:bCs/>
        </w:rPr>
        <w:t xml:space="preserve">Rate-cut risk</w:t>
      </w:r>
      <w:r>
        <w:t xml:space="preserve">: any dovish shift from the Fed (or non-USD central banks) would pressure NII given management's own sensitivity disclosures.</w:t>
      </w:r>
    </w:p>
    <w:p>
      <w:pPr>
        <w:pStyle w:val="Compact"/>
        <w:numPr>
          <w:ilvl w:val="0"/>
          <w:numId w:val="1003"/>
        </w:numPr>
      </w:pPr>
      <w:r>
        <w:rPr>
          <w:b/>
          <w:bCs/>
        </w:rPr>
        <w:t xml:space="preserve">Competitive pressure on cash yields</w:t>
      </w:r>
      <w:r>
        <w:t xml:space="preserve">: Chairman Peterffy noted concern that AI-driven "cash optimization" tools at banks could eventually force more competitive deposit pricing industry-wide, a potential long-term margin risk (though he was skeptical of near-term impact).</w:t>
      </w:r>
    </w:p>
    <w:p>
      <w:pPr>
        <w:pStyle w:val="Compact"/>
        <w:numPr>
          <w:ilvl w:val="0"/>
          <w:numId w:val="1003"/>
        </w:numPr>
      </w:pPr>
      <w:r>
        <w:rPr>
          <w:b/>
          <w:bCs/>
        </w:rPr>
        <w:t xml:space="preserve">Valuation/expectations risk</w:t>
      </w:r>
      <w:r>
        <w:t xml:space="preserve">: after a ~69% one-year rally, the stock may be priced for continued acceleration, leaving limited room for anything less than a clean beat-and-raise.</w:t>
      </w:r>
    </w:p>
    <w:p>
      <w:pPr>
        <w:pStyle w:val="Compact"/>
        <w:numPr>
          <w:ilvl w:val="0"/>
          <w:numId w:val="1003"/>
        </w:numPr>
      </w:pPr>
      <w:r>
        <w:rPr>
          <w:b/>
          <w:bCs/>
        </w:rPr>
        <w:t xml:space="preserve">FX/currency diversification strategy</w:t>
      </w:r>
      <w:r>
        <w:t xml:space="preserve">: IBKR's GLOBAL currency-basket strategy can swing "other income" and comprehensive income meaningfully quarter to quarter (a $53 million comprehensive-earnings hit in Q1) and adds noise to headline GAAP results.</w:t>
      </w:r>
    </w:p>
    <w:bookmarkEnd w:id="16"/>
    <w:bookmarkStart w:id="17" w:name="bottom-line"/>
    <w:p>
      <w:pPr>
        <w:pStyle w:val="Heading2"/>
      </w:pPr>
      <w:r>
        <w:t xml:space="preserve">Bottom Line</w:t>
      </w:r>
    </w:p>
    <w:p>
      <w:pPr>
        <w:pStyle w:val="FirstParagraph"/>
      </w:pPr>
      <w:r>
        <w:t xml:space="preserve">Going into Tuesday's report, the monthly operating data already point to a quarter that likely exceeds the current consensus for revenue (~</w:t>
      </w:r>
      <m:oMath>
        <m:r>
          <m:t>1.66</m:t>
        </m:r>
        <m:r>
          <m:t>B</m:t>
        </m:r>
        <m:r>
          <m:rPr>
            <m:sty m:val="p"/>
          </m:rPr>
          <m:t>)</m:t>
        </m:r>
        <m:r>
          <m:t>a</m:t>
        </m:r>
        <m:r>
          <m:t>n</m:t>
        </m:r>
        <m:r>
          <m:t>d</m:t>
        </m:r>
        <m:r>
          <m:t>E</m:t>
        </m:r>
        <m:r>
          <m:t>P</m:t>
        </m:r>
        <m:r>
          <m:t>S</m:t>
        </m:r>
        <m:r>
          <m:rPr>
            <m:sty m:val="p"/>
          </m:rPr>
          <m:t>(</m:t>
        </m:r>
        <m:r>
          <m:t> </m:t>
        </m:r>
      </m:oMath>
      <w:r>
        <w:t xml:space="preserve">0.59–0.63): DARTs accelerated each month of the quarter to a June exit rate of 5.27 million (+53% YoY), margin loans surged 67% YoY to $108.5 billion, and client equity approached $930 billion. With Fed policy rates stable rather than falling, NII should benefit from balance growth without the offsetting rate drag seen in some prior periods. The key swing factors for the stock's reaction will likely be margin trajectory (expense discipline vs. the historically strong 70%+ pretax margins), management's tone on rate sensitivity and marketing/account-growth spend, and any incremental color on newer growth vectors — crypto, prediction markets, and the PDT rule change — rather than the headline print itself.</w:t>
      </w:r>
    </w:p>
    <w:bookmarkEnd w:id="17"/>
    <w:bookmarkEnd w:id="1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2026-07-21T01:51:59Z</dcterms:created>
  <dcterms:modified xsi:type="dcterms:W3CDTF">2026-07-21T01:51:59Z</dcterms:modified>
</cp:coreProperties>
</file>

<file path=docProps/custom.xml><?xml version="1.0" encoding="utf-8"?>
<Properties xmlns="http://schemas.openxmlformats.org/officeDocument/2006/custom-properties" xmlns:vt="http://schemas.openxmlformats.org/officeDocument/2006/docPropsVTypes"/>
</file>