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bkr-earnings-predictions--2026-07-21"/>
    <w:p>
      <w:pPr>
        <w:pStyle w:val="Heading1"/>
      </w:pPr>
      <w:r>
        <w:t xml:space="preserve">IBKR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~$0.64 vs. cons $0.62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~$1.81B vs. cons $1.76B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~$0.99B vs. cons $0.96B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run-rate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~$1.04B vs. cons $1.00B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Average DARTs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~5.10M vs. cons 5.00M (July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IBKR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+3.8% (FOLLOW-THROUGH)</w:t>
            </w:r>
          </w:p>
        </w:tc>
        <w:tc>
          <w:tcPr/>
          <w:p>
            <w:pPr>
              <w:pStyle w:val="Compact"/>
            </w:pPr>
            <w:r>
              <w:t xml:space="preserve">The strong June margin-loan exit supports 3Q26 net interest income of ~</w:t>
            </w:r>
            <m:oMath>
              <m:r>
                <m:t>1.04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1.00B, driving upward out-period revisions after the initial beat despite the elevated valuation.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2026-07-21T00:53:12Z</dcterms:created>
  <dcterms:modified xsi:type="dcterms:W3CDTF">2026-07-21T00:53:12Z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