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9c74b9ea784a6ec728c00f3a64533a7ba54c65"/>
    <w:p>
      <w:pPr>
        <w:pStyle w:val="Heading1"/>
      </w:pPr>
      <w:r>
        <w:t xml:space="preserve">Interactive Brokers (IBKR) 2Q26 Earnings Preview</w:t>
      </w:r>
    </w:p>
    <w:p>
      <w:pPr>
        <w:pStyle w:val="BlockText"/>
      </w:pPr>
      <w:r>
        <w:rPr>
          <w:b/>
          <w:bCs/>
        </w:rPr>
        <w:t xml:space="preserve">Timing clarification:</w:t>
      </w:r>
      <w:r>
        <w:t xml:space="preserve"> </w:t>
      </w:r>
      <w:r>
        <w:t xml:space="preserve">IBKR reports</w:t>
      </w:r>
      <w:r>
        <w:t xml:space="preserve"> </w:t>
      </w:r>
      <w:r>
        <w:rPr>
          <w:b/>
          <w:bCs/>
        </w:rPr>
        <w:t xml:space="preserve">today, Tuesday, July 21, 2026—not tomorrow</w:t>
      </w:r>
      <w:r>
        <w:t xml:space="preserve">. Results are scheduled for approximately</w:t>
      </w:r>
      <w:r>
        <w:t xml:space="preserve"> </w:t>
      </w:r>
      <w:r>
        <w:rPr>
          <w:b/>
          <w:bCs/>
        </w:rPr>
        <w:t xml:space="preserve">4:00 p.m. ET</w:t>
      </w:r>
      <w:r>
        <w:t xml:space="preserve">, followed by the earnings call at</w:t>
      </w:r>
      <w:r>
        <w:t xml:space="preserve"> </w:t>
      </w:r>
      <w:r>
        <w:rPr>
          <w:b/>
          <w:bCs/>
        </w:rPr>
        <w:t xml:space="preserve">4:30 p.m. ET</w:t>
      </w:r>
      <w:r>
        <w:t xml:space="preserve">. (</w:t>
      </w:r>
      <w:hyperlink r:id="rId9">
        <w:r>
          <w:rPr>
            <w:rStyle w:val="Hyperlink"/>
          </w:rPr>
          <w:t xml:space="preserve">ibkr.interactiveadvisors.com</w:t>
        </w:r>
      </w:hyperlink>
      <w:r>
        <w:t xml:space="preserve">)</w:t>
      </w:r>
    </w:p>
    <w:bookmarkStart w:id="10" w:name="investment-view-going-into-the-report"/>
    <w:p>
      <w:pPr>
        <w:pStyle w:val="Heading2"/>
      </w:pPr>
      <w:r>
        <w:t xml:space="preserve">Investment view going into the report</w:t>
      </w:r>
    </w:p>
    <w:p>
      <w:pPr>
        <w:pStyle w:val="FirstParagraph"/>
      </w:pPr>
      <w:r>
        <w:t xml:space="preserve">The operating setup looks strong. IBKR’s monthly disclosures already show accelerating trading activity, exceptional account growth, and rapidly expanding margin balances. The Federal Reserve held rates steady throughout the quarter, allowing balance-sheet growth to reach earnings without an accompanying policy-rate headwind.</w:t>
      </w:r>
    </w:p>
    <w:p>
      <w:pPr>
        <w:pStyle w:val="BodyText"/>
      </w:pPr>
      <w:r>
        <w:t xml:space="preserve">The main question is therefore</w:t>
      </w:r>
      <w:r>
        <w:t xml:space="preserve"> </w:t>
      </w:r>
      <w:r>
        <w:rPr>
          <w:b/>
          <w:bCs/>
        </w:rPr>
        <w:t xml:space="preserve">not whether the business grew</w:t>
      </w:r>
      <w:r>
        <w:t xml:space="preserve">, but whether growth was strong enough to clear elevated expectations. At roughly $92, the stock has risen about 48% over the past year and approximately 37% since March 31. It trades around 39 times trailing earnings, leaving less room for an merely “in-line” quarter.</w:t>
      </w:r>
    </w:p>
    <w:p>
      <w:pPr>
        <w:pStyle w:val="BodyText"/>
      </w:pPr>
      <w:r>
        <w:rPr>
          <w:b/>
          <w:bCs/>
        </w:rPr>
        <w:t xml:space="preserve">Bottom line:</w:t>
      </w:r>
      <w:r>
        <w:t xml:space="preserve"> </w:t>
      </w:r>
      <w:r>
        <w:t xml:space="preserve">I would lean toward a solid—potentially modestly better-than-consensus—core result, led by net interest income and commissions. However, a substantial portion of the good news is visible in the monthly metrics, and lower commission revenue per order plus higher spending could constrain the size of the EPS beat.</w:t>
      </w:r>
    </w:p>
    <w:p>
      <w:r>
        <w:pict>
          <v:rect style="width:0;height:1.5pt" o:hralign="center" o:hrstd="t" o:hr="t"/>
        </w:pict>
      </w:r>
    </w:p>
    <w:bookmarkEnd w:id="10"/>
    <w:bookmarkStart w:id="13" w:name="expectations"/>
    <w:p>
      <w:pPr>
        <w:pStyle w:val="Heading2"/>
      </w:pPr>
      <w:r>
        <w:t xml:space="preserve">Expectations</w:t>
      </w:r>
    </w:p>
    <w:p>
      <w:pPr>
        <w:pStyle w:val="FirstParagraph"/>
      </w:pPr>
      <w:r>
        <w:t xml:space="preserve">Public consensus feeds are not completely aligned, partly because of differences between GAAP and adjusted figures. The general range is:</w:t>
      </w:r>
    </w:p>
    <w:p>
      <w:pPr>
        <w:pStyle w:val="Compact"/>
        <w:numPr>
          <w:ilvl w:val="0"/>
          <w:numId w:val="1001"/>
        </w:numPr>
      </w:pPr>
      <w:r>
        <w:rPr>
          <w:b/>
          <w:bCs/>
        </w:rPr>
        <w:t xml:space="preserve">Adjusted EPS:</w:t>
      </w:r>
      <w:r>
        <w:t xml:space="preserve"> </w:t>
      </w:r>
      <w:r>
        <w:t xml:space="preserve">approximately</w:t>
      </w:r>
      <w:r>
        <w:t xml:space="preserve"> </w:t>
      </w:r>
      <m:oMath>
        <m:r>
          <m:t>0.61</m:t>
        </m:r>
        <m:r>
          <m:rPr>
            <m:sty m:val="p"/>
          </m:rPr>
          <m:t>–</m:t>
        </m:r>
      </m:oMath>
      <w:r>
        <w:rPr>
          <w:b/>
          <w:bCs/>
        </w:rPr>
        <w:t xml:space="preserve">0.65</w:t>
      </w:r>
    </w:p>
    <w:p>
      <w:pPr>
        <w:pStyle w:val="Compact"/>
        <w:numPr>
          <w:ilvl w:val="0"/>
          <w:numId w:val="1001"/>
        </w:numPr>
      </w:pPr>
      <w:r>
        <w:rPr>
          <w:b/>
          <w:bCs/>
        </w:rPr>
        <w:t xml:space="preserve">Net revenue:</w:t>
      </w:r>
      <w:r>
        <w:t xml:space="preserve"> </w:t>
      </w:r>
      <w:r>
        <w:t xml:space="preserve">approximately</w:t>
      </w:r>
      <w:r>
        <w:t xml:space="preserve"> </w:t>
      </w:r>
      <m:oMath>
        <m:r>
          <m:t>1.72</m:t>
        </m:r>
        <m:r>
          <m:rPr>
            <m:sty m:val="p"/>
          </m:rPr>
          <m:t>–</m:t>
        </m:r>
      </m:oMath>
      <w:r>
        <w:rPr>
          <w:b/>
          <w:bCs/>
        </w:rPr>
        <w:t xml:space="preserve">1.78 billion</w:t>
      </w:r>
    </w:p>
    <w:p>
      <w:pPr>
        <w:pStyle w:val="FirstParagraph"/>
      </w:pPr>
      <w:r>
        <w:t xml:space="preserve">A reasonable central reference point is roughly</w:t>
      </w:r>
      <w:r>
        <w:t xml:space="preserve"> </w:t>
      </w:r>
      <w:r>
        <w:rPr>
          <w:b/>
          <w:bCs/>
        </w:rPr>
        <w:t xml:space="preserve">$0.62 EPS and $1.76 billion of revenue</w:t>
      </w:r>
      <w:r>
        <w:t xml:space="preserve">. (</w:t>
      </w:r>
      <w:hyperlink r:id="rId11">
        <w:r>
          <w:rPr>
            <w:rStyle w:val="Hyperlink"/>
          </w:rPr>
          <w:t xml:space="preserve">marketbeat.com</w:t>
        </w:r>
      </w:hyperlink>
      <w:r>
        <w:t xml:space="preserve">)</w:t>
      </w:r>
    </w:p>
    <w:p>
      <w:pPr>
        <w:pStyle w:val="BodyText"/>
      </w:pPr>
      <w:r>
        <w:t xml:space="preserve">For context, IBKR’s first quarter produced:</w:t>
      </w:r>
    </w:p>
    <w:p>
      <w:pPr>
        <w:pStyle w:val="Compact"/>
        <w:numPr>
          <w:ilvl w:val="0"/>
          <w:numId w:val="1002"/>
        </w:numPr>
      </w:pPr>
      <w:r>
        <w:rPr>
          <w:b/>
          <w:bCs/>
        </w:rPr>
        <w:t xml:space="preserve">GAAP EPS:</w:t>
      </w:r>
      <w:r>
        <w:t xml:space="preserve"> </w:t>
      </w:r>
      <w:r>
        <w:t xml:space="preserve">$0.59</w:t>
      </w:r>
    </w:p>
    <w:p>
      <w:pPr>
        <w:pStyle w:val="Compact"/>
        <w:numPr>
          <w:ilvl w:val="0"/>
          <w:numId w:val="1002"/>
        </w:numPr>
      </w:pPr>
      <w:r>
        <w:rPr>
          <w:b/>
          <w:bCs/>
        </w:rPr>
        <w:t xml:space="preserve">Adjusted EPS:</w:t>
      </w:r>
      <w:r>
        <w:t xml:space="preserve"> </w:t>
      </w:r>
      <w:r>
        <w:t xml:space="preserve">$0.60</w:t>
      </w:r>
    </w:p>
    <w:p>
      <w:pPr>
        <w:pStyle w:val="Compact"/>
        <w:numPr>
          <w:ilvl w:val="0"/>
          <w:numId w:val="1002"/>
        </w:numPr>
      </w:pPr>
      <w:r>
        <w:rPr>
          <w:b/>
          <w:bCs/>
        </w:rPr>
        <w:t xml:space="preserve">GAAP net revenue:</w:t>
      </w:r>
      <w:r>
        <w:t xml:space="preserve"> </w:t>
      </w:r>
      <w:r>
        <w:t xml:space="preserve">$1.669 billion</w:t>
      </w:r>
    </w:p>
    <w:p>
      <w:pPr>
        <w:pStyle w:val="Compact"/>
        <w:numPr>
          <w:ilvl w:val="0"/>
          <w:numId w:val="1002"/>
        </w:numPr>
      </w:pPr>
      <w:r>
        <w:rPr>
          <w:b/>
          <w:bCs/>
        </w:rPr>
        <w:t xml:space="preserve">Adjusted net revenue:</w:t>
      </w:r>
      <w:r>
        <w:t xml:space="preserve"> </w:t>
      </w:r>
      <w:r>
        <w:t xml:space="preserve">$1.680 billion</w:t>
      </w:r>
    </w:p>
    <w:p>
      <w:pPr>
        <w:pStyle w:val="Compact"/>
        <w:numPr>
          <w:ilvl w:val="0"/>
          <w:numId w:val="1002"/>
        </w:numPr>
      </w:pPr>
      <w:r>
        <w:rPr>
          <w:b/>
          <w:bCs/>
        </w:rPr>
        <w:t xml:space="preserve">Commission revenue:</w:t>
      </w:r>
      <w:r>
        <w:t xml:space="preserve"> </w:t>
      </w:r>
      <w:r>
        <w:t xml:space="preserve">$613 million</w:t>
      </w:r>
    </w:p>
    <w:p>
      <w:pPr>
        <w:pStyle w:val="Compact"/>
        <w:numPr>
          <w:ilvl w:val="0"/>
          <w:numId w:val="1002"/>
        </w:numPr>
      </w:pPr>
      <w:r>
        <w:rPr>
          <w:b/>
          <w:bCs/>
        </w:rPr>
        <w:t xml:space="preserve">Net interest income:</w:t>
      </w:r>
      <w:r>
        <w:t xml:space="preserve"> </w:t>
      </w:r>
      <w:r>
        <w:t xml:space="preserve">$904 million</w:t>
      </w:r>
    </w:p>
    <w:p>
      <w:pPr>
        <w:pStyle w:val="Compact"/>
        <w:numPr>
          <w:ilvl w:val="0"/>
          <w:numId w:val="1002"/>
        </w:numPr>
      </w:pPr>
      <w:r>
        <w:rPr>
          <w:b/>
          <w:bCs/>
        </w:rPr>
        <w:t xml:space="preserve">Pretax margin:</w:t>
      </w:r>
      <w:r>
        <w:t xml:space="preserve"> </w:t>
      </w:r>
      <w:r>
        <w:t xml:space="preserve">77% (</w:t>
      </w:r>
      <w:hyperlink r:id="rId12">
        <w:r>
          <w:rPr>
            <w:rStyle w:val="Hyperlink"/>
          </w:rPr>
          <w:t xml:space="preserve">interactivebrokers.com</w:t>
        </w:r>
      </w:hyperlink>
      <w:r>
        <w:t xml:space="preserve">)</w:t>
      </w:r>
    </w:p>
    <w:p>
      <w:r>
        <w:pict>
          <v:rect style="width:0;height:1.5pt" o:hralign="center" o:hrstd="t" o:hr="t"/>
        </w:pict>
      </w:r>
    </w:p>
    <w:bookmarkEnd w:id="13"/>
    <w:bookmarkStart w:id="15" w:name="the-quarter-in-one-table"/>
    <w:p>
      <w:pPr>
        <w:pStyle w:val="Heading2"/>
      </w:pPr>
      <w:r>
        <w:t xml:space="preserve">The quarter in one table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 March exit</w:t>
            </w:r>
          </w:p>
        </w:tc>
        <w:tc>
          <w:tcPr/>
          <w:p>
            <w:pPr>
              <w:pStyle w:val="Compact"/>
              <w:jc w:val="right"/>
            </w:pPr>
            <w:r>
              <w:t xml:space="preserve">2Q26 / June exit or estimate</w:t>
            </w:r>
          </w:p>
        </w:tc>
        <w:tc>
          <w:tcPr/>
          <w:p>
            <w:pPr>
              <w:pStyle w:val="Compact"/>
            </w:pPr>
            <w:r>
              <w:t xml:space="preserve">Read-through</w:t>
            </w:r>
          </w:p>
        </w:tc>
      </w:tr>
      <w:tr>
        <w:tc>
          <w:tcPr/>
          <w:p>
            <w:pPr>
              <w:pStyle w:val="Compact"/>
            </w:pPr>
            <w:r>
              <w:t xml:space="preserve">Average DARTs</w:t>
            </w:r>
          </w:p>
        </w:tc>
        <w:tc>
          <w:tcPr/>
          <w:p>
            <w:pPr>
              <w:pStyle w:val="Compact"/>
              <w:jc w:val="right"/>
            </w:pPr>
            <w:r>
              <w:t xml:space="preserve">4.368M</w:t>
            </w:r>
          </w:p>
        </w:tc>
        <w:tc>
          <w:tcPr/>
          <w:p>
            <w:pPr>
              <w:pStyle w:val="Compact"/>
              <w:jc w:val="right"/>
            </w:pPr>
            <w:r>
              <w:rPr>
                <w:b/>
                <w:bCs/>
              </w:rPr>
              <w:t xml:space="preserve">~4.824M</w:t>
            </w:r>
          </w:p>
        </w:tc>
        <w:tc>
          <w:tcPr/>
          <w:p>
            <w:pPr>
              <w:pStyle w:val="Compact"/>
            </w:pPr>
            <w:r>
              <w:t xml:space="preserve">+10% sequential; ~36% YoY</w:t>
            </w:r>
          </w:p>
        </w:tc>
      </w:tr>
      <w:tr>
        <w:tc>
          <w:tcPr/>
          <w:p>
            <w:pPr>
              <w:pStyle w:val="Compact"/>
            </w:pPr>
            <w:r>
              <w:t xml:space="preserve">Client accounts</w:t>
            </w:r>
          </w:p>
        </w:tc>
        <w:tc>
          <w:tcPr/>
          <w:p>
            <w:pPr>
              <w:pStyle w:val="Compact"/>
              <w:jc w:val="right"/>
            </w:pPr>
            <w:r>
              <w:t xml:space="preserve">4.754M</w:t>
            </w:r>
          </w:p>
        </w:tc>
        <w:tc>
          <w:tcPr/>
          <w:p>
            <w:pPr>
              <w:pStyle w:val="Compact"/>
              <w:jc w:val="right"/>
            </w:pPr>
            <w:r>
              <w:rPr>
                <w:b/>
                <w:bCs/>
              </w:rPr>
              <w:t xml:space="preserve">5.185M</w:t>
            </w:r>
          </w:p>
        </w:tc>
        <w:tc>
          <w:tcPr/>
          <w:p>
            <w:pPr>
              <w:pStyle w:val="Compact"/>
            </w:pPr>
            <w:r>
              <w:t xml:space="preserve">+431,000, or 9% Q/Q</w:t>
            </w:r>
          </w:p>
        </w:tc>
      </w:tr>
      <w:tr>
        <w:tc>
          <w:tcPr/>
          <w:p>
            <w:pPr>
              <w:pStyle w:val="Compact"/>
            </w:pPr>
            <w:r>
              <w:t xml:space="preserve">Client equity</w:t>
            </w:r>
          </w:p>
        </w:tc>
        <w:tc>
          <w:tcPr/>
          <w:p>
            <w:pPr>
              <w:pStyle w:val="Compact"/>
              <w:jc w:val="right"/>
            </w:pPr>
            <w:r>
              <w:t xml:space="preserve">$789.4B</w:t>
            </w:r>
          </w:p>
        </w:tc>
        <w:tc>
          <w:tcPr/>
          <w:p>
            <w:pPr>
              <w:pStyle w:val="Compact"/>
              <w:jc w:val="right"/>
            </w:pPr>
            <w:r>
              <w:rPr>
                <w:b/>
                <w:bCs/>
              </w:rPr>
              <w:t xml:space="preserve">$930.3B</w:t>
            </w:r>
          </w:p>
        </w:tc>
        <w:tc>
          <w:tcPr/>
          <w:p>
            <w:pPr>
              <w:pStyle w:val="Compact"/>
            </w:pPr>
            <w:r>
              <w:t xml:space="preserve">+18% Q/Q; +40% YoY</w:t>
            </w:r>
          </w:p>
        </w:tc>
      </w:tr>
      <w:tr>
        <w:tc>
          <w:tcPr/>
          <w:p>
            <w:pPr>
              <w:pStyle w:val="Compact"/>
            </w:pPr>
            <w:r>
              <w:t xml:space="preserve">Margin loans</w:t>
            </w:r>
          </w:p>
        </w:tc>
        <w:tc>
          <w:tcPr/>
          <w:p>
            <w:pPr>
              <w:pStyle w:val="Compact"/>
              <w:jc w:val="right"/>
            </w:pPr>
            <w:r>
              <w:t xml:space="preserve">$86.0B</w:t>
            </w:r>
          </w:p>
        </w:tc>
        <w:tc>
          <w:tcPr/>
          <w:p>
            <w:pPr>
              <w:pStyle w:val="Compact"/>
              <w:jc w:val="right"/>
            </w:pPr>
            <w:r>
              <w:rPr>
                <w:b/>
                <w:bCs/>
              </w:rPr>
              <w:t xml:space="preserve">$108.5B</w:t>
            </w:r>
          </w:p>
        </w:tc>
        <w:tc>
          <w:tcPr/>
          <w:p>
            <w:pPr>
              <w:pStyle w:val="Compact"/>
            </w:pPr>
            <w:r>
              <w:t xml:space="preserve">+26% Q/Q; +67% YoY</w:t>
            </w:r>
          </w:p>
        </w:tc>
      </w:tr>
      <w:tr>
        <w:tc>
          <w:tcPr/>
          <w:p>
            <w:pPr>
              <w:pStyle w:val="Compact"/>
            </w:pPr>
            <w:r>
              <w:t xml:space="preserve">Client credit balances</w:t>
            </w:r>
          </w:p>
        </w:tc>
        <w:tc>
          <w:tcPr/>
          <w:p>
            <w:pPr>
              <w:pStyle w:val="Compact"/>
              <w:jc w:val="right"/>
            </w:pPr>
            <w:r>
              <w:t xml:space="preserve">$168.8B</w:t>
            </w:r>
          </w:p>
        </w:tc>
        <w:tc>
          <w:tcPr/>
          <w:p>
            <w:pPr>
              <w:pStyle w:val="Compact"/>
              <w:jc w:val="right"/>
            </w:pPr>
            <w:r>
              <w:rPr>
                <w:b/>
                <w:bCs/>
              </w:rPr>
              <w:t xml:space="preserve">$182.4B</w:t>
            </w:r>
          </w:p>
        </w:tc>
        <w:tc>
          <w:tcPr/>
          <w:p>
            <w:pPr>
              <w:pStyle w:val="Compact"/>
            </w:pPr>
            <w:r>
              <w:t xml:space="preserve">+8% Q/Q; +27% YoY</w:t>
            </w:r>
          </w:p>
        </w:tc>
      </w:tr>
      <w:tr>
        <w:tc>
          <w:tcPr/>
          <w:p>
            <w:pPr>
              <w:pStyle w:val="Compact"/>
            </w:pPr>
            <w:r>
              <w:t xml:space="preserve">Average commission/order</w:t>
            </w:r>
          </w:p>
        </w:tc>
        <w:tc>
          <w:tcPr/>
          <w:p>
            <w:pPr>
              <w:pStyle w:val="Compact"/>
              <w:jc w:val="right"/>
            </w:pPr>
            <w:r>
              <w:t xml:space="preserve">$2.69 in 1Q</w:t>
            </w:r>
          </w:p>
        </w:tc>
        <w:tc>
          <w:tcPr/>
          <w:p>
            <w:pPr>
              <w:pStyle w:val="Compact"/>
              <w:jc w:val="right"/>
            </w:pPr>
            <w:r>
              <w:rPr>
                <w:b/>
                <w:bCs/>
              </w:rPr>
              <w:t xml:space="preserve">~$2.60 monthly proxy</w:t>
            </w:r>
          </w:p>
        </w:tc>
        <w:tc>
          <w:tcPr/>
          <w:p>
            <w:pPr>
              <w:pStyle w:val="Compact"/>
            </w:pPr>
            <w:r>
              <w:t xml:space="preserve">Mix and pricing headwind</w:t>
            </w:r>
          </w:p>
        </w:tc>
      </w:tr>
    </w:tbl>
    <w:p>
      <w:pPr>
        <w:pStyle w:val="BodyText"/>
      </w:pPr>
      <w:r>
        <w:t xml:space="preserve">The estimated quarterly DART figure is calculated from the disclosed April, May, and June monthly results, weighted by trading days. April DARTs were 4.241 million, May reached 4.969 million, and June rose to 5.269 million. (</w:t>
      </w:r>
      <w:hyperlink r:id="rId14">
        <w:r>
          <w:rPr>
            <w:rStyle w:val="Hyperlink"/>
          </w:rPr>
          <w:t xml:space="preserve">interactivebrokers.com</w:t>
        </w:r>
      </w:hyperlink>
      <w:r>
        <w:t xml:space="preserve">)</w:t>
      </w:r>
    </w:p>
    <w:p>
      <w:r>
        <w:pict>
          <v:rect style="width:0;height:1.5pt" o:hralign="center" o:hrstd="t" o:hr="t"/>
        </w:pict>
      </w:r>
    </w:p>
    <w:bookmarkEnd w:id="15"/>
    <w:bookmarkStart w:id="17" w:name="Xf42b31f32823e4acb7f1232c7fa0162cd239f73"/>
    <w:p>
      <w:pPr>
        <w:pStyle w:val="Heading2"/>
      </w:pPr>
      <w:r>
        <w:t xml:space="preserve">1. Commissions should set another record—but revenue per trade matters</w:t>
      </w:r>
    </w:p>
    <w:p>
      <w:pPr>
        <w:pStyle w:val="FirstParagraph"/>
      </w:pPr>
      <w:r>
        <w:t xml:space="preserve">The commission outlook is favorable. Average DARTs appear to have reached approximately</w:t>
      </w:r>
      <w:r>
        <w:t xml:space="preserve"> </w:t>
      </w:r>
      <w:r>
        <w:rPr>
          <w:b/>
          <w:bCs/>
        </w:rPr>
        <w:t xml:space="preserve">4.82 million</w:t>
      </w:r>
      <w:r>
        <w:t xml:space="preserve">, up about</w:t>
      </w:r>
      <w:r>
        <w:t xml:space="preserve"> </w:t>
      </w:r>
      <w:r>
        <w:rPr>
          <w:b/>
          <w:bCs/>
        </w:rPr>
        <w:t xml:space="preserve">10% sequentially</w:t>
      </w:r>
      <w:r>
        <w:t xml:space="preserve"> </w:t>
      </w:r>
      <w:r>
        <w:t xml:space="preserve">and</w:t>
      </w:r>
      <w:r>
        <w:t xml:space="preserve"> </w:t>
      </w:r>
      <w:r>
        <w:rPr>
          <w:b/>
          <w:bCs/>
        </w:rPr>
        <w:t xml:space="preserve">36% from 2Q25</w:t>
      </w:r>
      <w:r>
        <w:t xml:space="preserve">. Momentum strengthened throughout the quarter, with June DARTs up 53% year over year. (</w:t>
      </w:r>
      <w:hyperlink r:id="rId16">
        <w:r>
          <w:rPr>
            <w:rStyle w:val="Hyperlink"/>
          </w:rPr>
          <w:t xml:space="preserve">interactivebrokers.com</w:t>
        </w:r>
      </w:hyperlink>
      <w:r>
        <w:t xml:space="preserve">)</w:t>
      </w:r>
    </w:p>
    <w:p>
      <w:pPr>
        <w:pStyle w:val="BodyText"/>
      </w:pPr>
      <w:r>
        <w:t xml:space="preserve">That should comfortably support another quarterly commission record. The complication is declining commission revenue per commissionable order:</w:t>
      </w:r>
    </w:p>
    <w:p>
      <w:pPr>
        <w:pStyle w:val="Compact"/>
        <w:numPr>
          <w:ilvl w:val="0"/>
          <w:numId w:val="1003"/>
        </w:numPr>
      </w:pPr>
      <w:r>
        <w:t xml:space="preserve">April:</w:t>
      </w:r>
      <w:r>
        <w:t xml:space="preserve"> </w:t>
      </w:r>
      <w:r>
        <w:rPr>
          <w:b/>
          <w:bCs/>
        </w:rPr>
        <w:t xml:space="preserve">$2.70</w:t>
      </w:r>
    </w:p>
    <w:p>
      <w:pPr>
        <w:pStyle w:val="Compact"/>
        <w:numPr>
          <w:ilvl w:val="0"/>
          <w:numId w:val="1003"/>
        </w:numPr>
      </w:pPr>
      <w:r>
        <w:t xml:space="preserve">May:</w:t>
      </w:r>
      <w:r>
        <w:t xml:space="preserve"> </w:t>
      </w:r>
      <w:r>
        <w:rPr>
          <w:b/>
          <w:bCs/>
        </w:rPr>
        <w:t xml:space="preserve">$2.60</w:t>
      </w:r>
    </w:p>
    <w:p>
      <w:pPr>
        <w:pStyle w:val="Compact"/>
        <w:numPr>
          <w:ilvl w:val="0"/>
          <w:numId w:val="1003"/>
        </w:numPr>
      </w:pPr>
      <w:r>
        <w:t xml:space="preserve">June:</w:t>
      </w:r>
      <w:r>
        <w:t xml:space="preserve"> </w:t>
      </w:r>
      <w:r>
        <w:rPr>
          <w:b/>
          <w:bCs/>
        </w:rPr>
        <w:t xml:space="preserve">$2.52</w:t>
      </w:r>
    </w:p>
    <w:p>
      <w:pPr>
        <w:pStyle w:val="FirstParagraph"/>
      </w:pPr>
      <w:r>
        <w:t xml:space="preserve">The weighted monthly proxy is about $2.60, versus $2.69 reported in the first quarter. Product mix, smaller order sizes, and exchange-fee mechanics could therefore keep commission growth below DART growth. Average U.S. stock order size also declined from 739 shares in April to 618 in June. (</w:t>
      </w:r>
      <w:hyperlink r:id="rId14">
        <w:r>
          <w:rPr>
            <w:rStyle w:val="Hyperlink"/>
          </w:rPr>
          <w:t xml:space="preserve">interactivebrokers.com</w:t>
        </w:r>
      </w:hyperlink>
      <w:r>
        <w:t xml:space="preserve">)</w:t>
      </w:r>
    </w:p>
    <w:p>
      <w:pPr>
        <w:pStyle w:val="BodyText"/>
      </w:pPr>
      <w:r>
        <w:t xml:space="preserve">There is also an accounting presentation issue. The SEC Section 31 fee resumed in April. IBKR described it as a pass-through that increases both commission revenue and execution expense without affecting profit. Investors should therefore focus on</w:t>
      </w:r>
      <w:r>
        <w:t xml:space="preserve"> </w:t>
      </w:r>
      <w:r>
        <w:rPr>
          <w:b/>
          <w:bCs/>
        </w:rPr>
        <w:t xml:space="preserve">net transactional profitability</w:t>
      </w:r>
      <w:r>
        <w:t xml:space="preserve">, not just reported commission growth.</w:t>
      </w:r>
    </w:p>
    <w:p>
      <w:pPr>
        <w:pStyle w:val="BodyText"/>
      </w:pPr>
      <w:r>
        <w:rPr>
          <w:b/>
          <w:bCs/>
        </w:rPr>
        <w:t xml:space="preserve">What would be encouraging:</w:t>
      </w:r>
      <w:r>
        <w:t xml:space="preserve"> </w:t>
      </w:r>
      <w:r>
        <w:t xml:space="preserve">commission revenue above roughly $650 million with transactional margins holding near recent levels.</w:t>
      </w:r>
    </w:p>
    <w:p>
      <w:pPr>
        <w:pStyle w:val="BodyText"/>
      </w:pPr>
      <w:r>
        <w:rPr>
          <w:b/>
          <w:bCs/>
        </w:rPr>
        <w:t xml:space="preserve">What would disappoint:</w:t>
      </w:r>
      <w:r>
        <w:t xml:space="preserve"> </w:t>
      </w:r>
      <w:r>
        <w:t xml:space="preserve">strong DART growth translating into only limited commission growth because of weaker order economics or unfavorable product mix.</w:t>
      </w:r>
    </w:p>
    <w:p>
      <w:r>
        <w:pict>
          <v:rect style="width:0;height:1.5pt" o:hralign="center" o:hrstd="t" o:hr="t"/>
        </w:pict>
      </w:r>
    </w:p>
    <w:bookmarkEnd w:id="17"/>
    <w:bookmarkStart w:id="20" w:name="Xea01b3b453a69d380efabfa5cf559e99f64a0fc"/>
    <w:p>
      <w:pPr>
        <w:pStyle w:val="Heading2"/>
      </w:pPr>
      <w:r>
        <w:t xml:space="preserve">2. Net interest income is likely the biggest source of upside</w:t>
      </w:r>
    </w:p>
    <w:p>
      <w:pPr>
        <w:pStyle w:val="FirstParagraph"/>
      </w:pPr>
      <w:r>
        <w:t xml:space="preserve">The most important operating development was the rise in margin loans:</w:t>
      </w:r>
    </w:p>
    <w:p>
      <w:pPr>
        <w:pStyle w:val="Compact"/>
        <w:numPr>
          <w:ilvl w:val="0"/>
          <w:numId w:val="1004"/>
        </w:numPr>
      </w:pPr>
      <w:r>
        <w:t xml:space="preserve">$86.0 billion at March 31</w:t>
      </w:r>
    </w:p>
    <w:p>
      <w:pPr>
        <w:pStyle w:val="Compact"/>
        <w:numPr>
          <w:ilvl w:val="0"/>
          <w:numId w:val="1004"/>
        </w:numPr>
      </w:pPr>
      <w:r>
        <w:t xml:space="preserve">$91.3 billion in April</w:t>
      </w:r>
    </w:p>
    <w:p>
      <w:pPr>
        <w:pStyle w:val="Compact"/>
        <w:numPr>
          <w:ilvl w:val="0"/>
          <w:numId w:val="1004"/>
        </w:numPr>
      </w:pPr>
      <w:r>
        <w:t xml:space="preserve">$100.9 billion in May</w:t>
      </w:r>
    </w:p>
    <w:p>
      <w:pPr>
        <w:pStyle w:val="Compact"/>
        <w:numPr>
          <w:ilvl w:val="0"/>
          <w:numId w:val="1004"/>
        </w:numPr>
      </w:pPr>
      <w:r>
        <w:t xml:space="preserve">$108.5 billion in June</w:t>
      </w:r>
    </w:p>
    <w:p>
      <w:pPr>
        <w:pStyle w:val="FirstParagraph"/>
      </w:pPr>
      <w:r>
        <w:t xml:space="preserve">June’s balance was</w:t>
      </w:r>
      <w:r>
        <w:t xml:space="preserve"> </w:t>
      </w:r>
      <w:r>
        <w:rPr>
          <w:b/>
          <w:bCs/>
        </w:rPr>
        <w:t xml:space="preserve">67% above the prior year</w:t>
      </w:r>
      <w:r>
        <w:t xml:space="preserve"> </w:t>
      </w:r>
      <w:r>
        <w:t xml:space="preserve">and 26% above the first-quarter exit. Client credit balances also climbed to $182.4 billion. (</w:t>
      </w:r>
      <w:hyperlink r:id="rId14">
        <w:r>
          <w:rPr>
            <w:rStyle w:val="Hyperlink"/>
          </w:rPr>
          <w:t xml:space="preserve">interactivebrokers.com</w:t>
        </w:r>
      </w:hyperlink>
      <w:r>
        <w:t xml:space="preserve">)</w:t>
      </w:r>
    </w:p>
    <w:p>
      <w:pPr>
        <w:pStyle w:val="BodyText"/>
      </w:pPr>
      <w:r>
        <w:t xml:space="preserve">Because these balances rose during the quarter, the earnings benefit will be smaller than the end-point growth suggests. Nevertheless, average margin loans should be materially above the first quarter’s $89.2 billion average, creating a favorable sequential bridge for interest income.</w:t>
      </w:r>
    </w:p>
    <w:p>
      <w:pPr>
        <w:pStyle w:val="BodyText"/>
      </w:pPr>
      <w:r>
        <w:t xml:space="preserve">The rate environment also cooperated: the Federal Reserve maintained its 3.5%–3.75% target range at both its April and June meetings. Accordingly, IBKR avoided the direct U.S. policy-rate reduction that would otherwise pressure spreads. (</w:t>
      </w:r>
      <w:hyperlink r:id="rId18">
        <w:r>
          <w:rPr>
            <w:rStyle w:val="Hyperlink"/>
          </w:rPr>
          <w:t xml:space="preserve">federalreserve.gov</w:t>
        </w:r>
      </w:hyperlink>
      <w:r>
        <w:t xml:space="preserve">)</w:t>
      </w:r>
    </w:p>
    <w:p>
      <w:pPr>
        <w:pStyle w:val="BodyText"/>
      </w:pPr>
      <w:r>
        <w:t xml:space="preserve">The offset is higher interest expense on growing client cash balances. The key figure is thus the spread between earnings on segregated cash and margin loans and what IBKR pays clients—not gross interest income.</w:t>
      </w:r>
    </w:p>
    <w:p>
      <w:pPr>
        <w:pStyle w:val="BodyText"/>
      </w:pPr>
      <w:r>
        <w:t xml:space="preserve">At the first-quarter call, management estimated that a 25-basis-point U.S. rate reduction would lower annual net interest income by approximately $80 million, before considering future balance-sheet growth. That sensitivity did not hit 2Q, but the outlook for the July 28–29 FOMC meeting and subsequent quarters will matter. (</w:t>
      </w:r>
      <w:hyperlink r:id="rId19">
        <w:r>
          <w:rPr>
            <w:rStyle w:val="Hyperlink"/>
          </w:rPr>
          <w:t xml:space="preserve">federalreserve.gov</w:t>
        </w:r>
      </w:hyperlink>
      <w:r>
        <w:t xml:space="preserve">)</w:t>
      </w:r>
    </w:p>
    <w:p>
      <w:pPr>
        <w:pStyle w:val="BodyText"/>
      </w:pPr>
      <w:r>
        <w:rPr>
          <w:b/>
          <w:bCs/>
        </w:rPr>
        <w:t xml:space="preserve">Base expectation:</w:t>
      </w:r>
      <w:r>
        <w:t xml:space="preserve"> </w:t>
      </w:r>
      <w:r>
        <w:t xml:space="preserve">sequential NII growth from</w:t>
      </w:r>
      <w:r>
        <w:t xml:space="preserve"> </w:t>
      </w:r>
      <m:oMath>
        <m:r>
          <m:t>904</m:t>
        </m:r>
        <m:r>
          <m:t>m</m:t>
        </m:r>
        <m:r>
          <m:t>i</m:t>
        </m:r>
        <m:r>
          <m:t>l</m:t>
        </m:r>
        <m:r>
          <m:t>l</m:t>
        </m:r>
        <m:r>
          <m:t>i</m:t>
        </m:r>
        <m:r>
          <m:t>o</m:t>
        </m:r>
        <m:r>
          <m:t>n</m:t>
        </m:r>
        <m:r>
          <m:rPr>
            <m:sty m:val="p"/>
          </m:rPr>
          <m:t>,</m:t>
        </m:r>
        <m:r>
          <m:t>w</m:t>
        </m:r>
        <m:r>
          <m:t>i</m:t>
        </m:r>
        <m:r>
          <m:t>t</m:t>
        </m:r>
        <m:r>
          <m:t>h</m:t>
        </m:r>
        <m:r>
          <m:t>a</m:t>
        </m:r>
        <m:r>
          <m:t>r</m:t>
        </m:r>
        <m:r>
          <m:t>e</m:t>
        </m:r>
        <m:r>
          <m:t>a</m:t>
        </m:r>
        <m:r>
          <m:t>s</m:t>
        </m:r>
        <m:r>
          <m:t>o</m:t>
        </m:r>
        <m:r>
          <m:t>n</m:t>
        </m:r>
        <m:r>
          <m:t>a</m:t>
        </m:r>
        <m:r>
          <m:t>b</m:t>
        </m:r>
        <m:r>
          <m:t>l</m:t>
        </m:r>
        <m:r>
          <m:t>e</m:t>
        </m:r>
        <m:r>
          <m:t>p</m:t>
        </m:r>
        <m:r>
          <m:t>o</m:t>
        </m:r>
        <m:r>
          <m:t>s</m:t>
        </m:r>
        <m:r>
          <m:t>s</m:t>
        </m:r>
        <m:r>
          <m:t>i</m:t>
        </m:r>
        <m:r>
          <m:t>b</m:t>
        </m:r>
        <m:r>
          <m:t>i</m:t>
        </m:r>
        <m:r>
          <m:t>l</m:t>
        </m:r>
        <m:r>
          <m:t>i</m:t>
        </m:r>
        <m:r>
          <m:t>t</m:t>
        </m:r>
        <m:r>
          <m:t>y</m:t>
        </m:r>
        <m:r>
          <m:t>t</m:t>
        </m:r>
        <m:r>
          <m:t>h</m:t>
        </m:r>
        <m:r>
          <m:t>a</m:t>
        </m:r>
        <m:r>
          <m:t>t</m:t>
        </m:r>
        <m:r>
          <m:t>i</m:t>
        </m:r>
        <m:r>
          <m:t>t</m:t>
        </m:r>
        <m:r>
          <m:t>a</m:t>
        </m:r>
        <m:r>
          <m:t>p</m:t>
        </m:r>
        <m:r>
          <m:t>p</m:t>
        </m:r>
        <m:r>
          <m:t>r</m:t>
        </m:r>
        <m:r>
          <m:t>o</m:t>
        </m:r>
        <m:r>
          <m:t>a</m:t>
        </m:r>
        <m:r>
          <m:t>c</m:t>
        </m:r>
        <m:r>
          <m:t>h</m:t>
        </m:r>
        <m:r>
          <m:t>e</m:t>
        </m:r>
        <m:r>
          <m:t>s</m:t>
        </m:r>
        <m:r>
          <m:t>o</m:t>
        </m:r>
        <m:r>
          <m:t>r</m:t>
        </m:r>
        <m:r>
          <m:t>s</m:t>
        </m:r>
        <m:r>
          <m:t>u</m:t>
        </m:r>
        <m:r>
          <m:t>r</m:t>
        </m:r>
        <m:r>
          <m:t>p</m:t>
        </m:r>
        <m:r>
          <m:t>a</m:t>
        </m:r>
        <m:r>
          <m:t>s</m:t>
        </m:r>
        <m:r>
          <m:t>s</m:t>
        </m:r>
        <m:r>
          <m:t>e</m:t>
        </m:r>
        <m:r>
          <m:t>s</m:t>
        </m:r>
        <m:r>
          <m:t>t</m:t>
        </m:r>
        <m:r>
          <m:t>h</m:t>
        </m:r>
        <m:r>
          <m:t>e</m:t>
        </m:r>
        <m:r>
          <m:t>m</m:t>
        </m:r>
        <m:r>
          <m:t>i</m:t>
        </m:r>
        <m:r>
          <m:t>d</m:t>
        </m:r>
        <m:r>
          <m:rPr>
            <m:sty m:val="p"/>
          </m:rPr>
          <m:t>−</m:t>
        </m:r>
      </m:oMath>
      <w:r>
        <w:t xml:space="preserve">900 millions.</w:t>
      </w:r>
    </w:p>
    <w:p>
      <w:r>
        <w:pict>
          <v:rect style="width:0;height:1.5pt" o:hralign="center" o:hrstd="t" o:hr="t"/>
        </w:pict>
      </w:r>
    </w:p>
    <w:bookmarkEnd w:id="20"/>
    <w:bookmarkStart w:id="22" w:name="X5716d543e2fb11385eed39bc68e9b2660a1ed6e"/>
    <w:p>
      <w:pPr>
        <w:pStyle w:val="Heading2"/>
      </w:pPr>
      <w:r>
        <w:t xml:space="preserve">3. Can IBKR preserve a mid-to-high-70% pretax margin?</w:t>
      </w:r>
    </w:p>
    <w:p>
      <w:pPr>
        <w:pStyle w:val="FirstParagraph"/>
      </w:pPr>
      <w:r>
        <w:t xml:space="preserve">IBKR entered the quarter with a 77% adjusted pretax margin, its sixth consecutive quarter above 70%. The revenue setup should provide substantial operating leverage because its automated infrastructure allows incremental accounts, assets, and trades to be added at relatively low marginal cost. (</w:t>
      </w:r>
      <w:hyperlink r:id="rId12">
        <w:r>
          <w:rPr>
            <w:rStyle w:val="Hyperlink"/>
          </w:rPr>
          <w:t xml:space="preserve">interactivebrokers.com</w:t>
        </w:r>
      </w:hyperlink>
      <w:r>
        <w:t xml:space="preserve">)</w:t>
      </w:r>
    </w:p>
    <w:p>
      <w:pPr>
        <w:pStyle w:val="BodyText"/>
      </w:pPr>
      <w:r>
        <w:t xml:space="preserve">There are, however, three expense considerations:</w:t>
      </w:r>
    </w:p>
    <w:p>
      <w:pPr>
        <w:pStyle w:val="Compact"/>
        <w:numPr>
          <w:ilvl w:val="0"/>
          <w:numId w:val="1005"/>
        </w:numPr>
      </w:pPr>
      <w:r>
        <w:rPr>
          <w:b/>
          <w:bCs/>
        </w:rPr>
        <w:t xml:space="preserve">Second-quarter compensation seasonality.</w:t>
      </w:r>
      <w:r>
        <w:t xml:space="preserve"> </w:t>
      </w:r>
      <w:r>
        <w:t xml:space="preserve">Management previously noted that employee stock awards vest in the second quarter.</w:t>
      </w:r>
    </w:p>
    <w:p>
      <w:pPr>
        <w:pStyle w:val="Compact"/>
        <w:numPr>
          <w:ilvl w:val="0"/>
          <w:numId w:val="1005"/>
        </w:numPr>
      </w:pPr>
      <w:r>
        <w:rPr>
          <w:b/>
          <w:bCs/>
        </w:rPr>
        <w:t xml:space="preserve">Higher marketing spending.</w:t>
      </w:r>
      <w:r>
        <w:t xml:space="preserve"> </w:t>
      </w:r>
      <w:r>
        <w:t xml:space="preserve">IBKR is expanding its global advertising, though management has stressed return discipline.</w:t>
      </w:r>
    </w:p>
    <w:p>
      <w:pPr>
        <w:pStyle w:val="Compact"/>
        <w:numPr>
          <w:ilvl w:val="0"/>
          <w:numId w:val="1005"/>
        </w:numPr>
      </w:pPr>
      <w:r>
        <w:rPr>
          <w:b/>
          <w:bCs/>
        </w:rPr>
        <w:t xml:space="preserve">Continued product investment.</w:t>
      </w:r>
      <w:r>
        <w:t xml:space="preserve"> </w:t>
      </w:r>
      <w:r>
        <w:t xml:space="preserve">Recent launches include Korean equities, expanded prediction-market access, agentic AI integrations, and broader crypto functionality. (</w:t>
      </w:r>
      <w:hyperlink r:id="rId21">
        <w:r>
          <w:rPr>
            <w:rStyle w:val="Hyperlink"/>
          </w:rPr>
          <w:t xml:space="preserve">investors.interactivebrokers.com</w:t>
        </w:r>
      </w:hyperlink>
      <w:r>
        <w:t xml:space="preserve">)</w:t>
      </w:r>
    </w:p>
    <w:p>
      <w:pPr>
        <w:pStyle w:val="FirstParagraph"/>
      </w:pPr>
      <w:r>
        <w:t xml:space="preserve">A pretax margin around</w:t>
      </w:r>
      <w:r>
        <w:t xml:space="preserve"> </w:t>
      </w:r>
      <w:r>
        <w:rPr>
          <w:b/>
          <w:bCs/>
        </w:rPr>
        <w:t xml:space="preserve">75%–77%</w:t>
      </w:r>
      <w:r>
        <w:t xml:space="preserve"> </w:t>
      </w:r>
      <w:r>
        <w:t xml:space="preserve">would be a strong result. A figure below approximately 74% would raise questions about whether marketing and product spending are beginning to absorb more of the operating leverage.</w:t>
      </w:r>
    </w:p>
    <w:p>
      <w:r>
        <w:pict>
          <v:rect style="width:0;height:1.5pt" o:hralign="center" o:hrstd="t" o:hr="t"/>
        </w:pict>
      </w:r>
    </w:p>
    <w:bookmarkEnd w:id="22"/>
    <w:bookmarkStart w:id="23" w:name="Xfa927e7a843da2c25cd581bb34119086150e3f9"/>
    <w:p>
      <w:pPr>
        <w:pStyle w:val="Heading2"/>
      </w:pPr>
      <w:r>
        <w:t xml:space="preserve">4. Account growth may be the most important long-term metric</w:t>
      </w:r>
    </w:p>
    <w:p>
      <w:pPr>
        <w:pStyle w:val="FirstParagraph"/>
      </w:pPr>
      <w:r>
        <w:t xml:space="preserve">IBKR ended June with</w:t>
      </w:r>
      <w:r>
        <w:t xml:space="preserve"> </w:t>
      </w:r>
      <w:r>
        <w:rPr>
          <w:b/>
          <w:bCs/>
        </w:rPr>
        <w:t xml:space="preserve">5.185 million accounts</w:t>
      </w:r>
      <w:r>
        <w:t xml:space="preserve">, up 34% year over year and 9% from the first-quarter level. The company added roughly</w:t>
      </w:r>
      <w:r>
        <w:t xml:space="preserve"> </w:t>
      </w:r>
      <w:r>
        <w:rPr>
          <w:b/>
          <w:bCs/>
        </w:rPr>
        <w:t xml:space="preserve">431,000 net accounts during the quarter</w:t>
      </w:r>
      <w:r>
        <w:t xml:space="preserve">, more than the total account base of many smaller brokers. (</w:t>
      </w:r>
      <w:hyperlink r:id="rId16">
        <w:r>
          <w:rPr>
            <w:rStyle w:val="Hyperlink"/>
          </w:rPr>
          <w:t xml:space="preserve">interactivebrokers.com</w:t>
        </w:r>
      </w:hyperlink>
      <w:r>
        <w:t xml:space="preserve">)</w:t>
      </w:r>
    </w:p>
    <w:p>
      <w:pPr>
        <w:pStyle w:val="BodyText"/>
      </w:pPr>
      <w:r>
        <w:t xml:space="preserve">The quality of those additions matters more than the headline count. Investors should listen for:</w:t>
      </w:r>
    </w:p>
    <w:p>
      <w:pPr>
        <w:pStyle w:val="Compact"/>
        <w:numPr>
          <w:ilvl w:val="0"/>
          <w:numId w:val="1006"/>
        </w:numPr>
      </w:pPr>
      <w:r>
        <w:t xml:space="preserve">Geographic and customer-segment mix.</w:t>
      </w:r>
    </w:p>
    <w:p>
      <w:pPr>
        <w:pStyle w:val="Compact"/>
        <w:numPr>
          <w:ilvl w:val="0"/>
          <w:numId w:val="1006"/>
        </w:numPr>
      </w:pPr>
      <w:r>
        <w:t xml:space="preserve">Introducing-broker pipeline activity.</w:t>
      </w:r>
    </w:p>
    <w:p>
      <w:pPr>
        <w:pStyle w:val="Compact"/>
        <w:numPr>
          <w:ilvl w:val="0"/>
          <w:numId w:val="1006"/>
        </w:numPr>
      </w:pPr>
      <w:r>
        <w:t xml:space="preserve">Initial funding levels for new accounts.</w:t>
      </w:r>
    </w:p>
    <w:p>
      <w:pPr>
        <w:pStyle w:val="Compact"/>
        <w:numPr>
          <w:ilvl w:val="0"/>
          <w:numId w:val="1006"/>
        </w:numPr>
      </w:pPr>
      <w:r>
        <w:t xml:space="preserve">Whether account growth is producing proportional growth in client cash and margin loans.</w:t>
      </w:r>
    </w:p>
    <w:p>
      <w:pPr>
        <w:pStyle w:val="Compact"/>
        <w:numPr>
          <w:ilvl w:val="0"/>
          <w:numId w:val="1006"/>
        </w:numPr>
      </w:pPr>
      <w:r>
        <w:t xml:space="preserve">Progress in hedge-fund and high-touch prime brokerage.</w:t>
      </w:r>
    </w:p>
    <w:p>
      <w:pPr>
        <w:pStyle w:val="Compact"/>
        <w:numPr>
          <w:ilvl w:val="0"/>
          <w:numId w:val="1006"/>
        </w:numPr>
      </w:pPr>
      <w:r>
        <w:t xml:space="preserve">Whether new retail accounts remain active after market volatility subsides.</w:t>
      </w:r>
    </w:p>
    <w:p>
      <w:pPr>
        <w:pStyle w:val="FirstParagraph"/>
      </w:pPr>
      <w:r>
        <w:t xml:space="preserve">So far, the accompanying 18% sequential increase in client equity and 26% increase in margin loans suggest that account growth is translating into economically valuable balances—not merely unfunded registrations.</w:t>
      </w:r>
    </w:p>
    <w:p>
      <w:r>
        <w:pict>
          <v:rect style="width:0;height:1.5pt" o:hralign="center" o:hrstd="t" o:hr="t"/>
        </w:pict>
      </w:r>
    </w:p>
    <w:bookmarkEnd w:id="23"/>
    <w:bookmarkStart w:id="24" w:name="X7240493dd0ccce0eea9d945bc3e5e240a797ebe"/>
    <w:p>
      <w:pPr>
        <w:pStyle w:val="Heading2"/>
      </w:pPr>
      <w:r>
        <w:t xml:space="preserve">5. Product launches: strong strategic activity, limited near-term visibility</w:t>
      </w:r>
    </w:p>
    <w:p>
      <w:pPr>
        <w:pStyle w:val="FirstParagraph"/>
      </w:pPr>
      <w:r>
        <w:t xml:space="preserve">IBKR was particularly active during the quarter:</w:t>
      </w:r>
    </w:p>
    <w:p>
      <w:pPr>
        <w:pStyle w:val="Compact"/>
        <w:numPr>
          <w:ilvl w:val="0"/>
          <w:numId w:val="1007"/>
        </w:numPr>
      </w:pPr>
      <w:r>
        <w:t xml:space="preserve">Expanded access to Korean equities and Korea’s Nextrade ATS.</w:t>
      </w:r>
    </w:p>
    <w:p>
      <w:pPr>
        <w:pStyle w:val="Compact"/>
        <w:numPr>
          <w:ilvl w:val="0"/>
          <w:numId w:val="1007"/>
        </w:numPr>
      </w:pPr>
      <w:r>
        <w:t xml:space="preserve">Unified prediction-market access across ForecastEx, Kalshi, and CME.</w:t>
      </w:r>
    </w:p>
    <w:p>
      <w:pPr>
        <w:pStyle w:val="Compact"/>
        <w:numPr>
          <w:ilvl w:val="0"/>
          <w:numId w:val="1007"/>
        </w:numPr>
      </w:pPr>
      <w:r>
        <w:t xml:space="preserve">Integrated agentic trading capabilities with Claude, ChatGPT, and Grok.</w:t>
      </w:r>
    </w:p>
    <w:p>
      <w:pPr>
        <w:pStyle w:val="Compact"/>
        <w:numPr>
          <w:ilvl w:val="0"/>
          <w:numId w:val="1007"/>
        </w:numPr>
      </w:pPr>
      <w:r>
        <w:t xml:space="preserve">Expanded cryptocurrency availability and stablecoin functionality. (</w:t>
      </w:r>
      <w:hyperlink r:id="rId21">
        <w:r>
          <w:rPr>
            <w:rStyle w:val="Hyperlink"/>
          </w:rPr>
          <w:t xml:space="preserve">investors.interactivebrokers.com</w:t>
        </w:r>
      </w:hyperlink>
      <w:r>
        <w:t xml:space="preserve">)</w:t>
      </w:r>
    </w:p>
    <w:p>
      <w:pPr>
        <w:pStyle w:val="FirstParagraph"/>
      </w:pPr>
      <w:r>
        <w:t xml:space="preserve">These initiatives strengthen the company’s long-term proposition as a global, multi-asset platform. They are unlikely to be major 2Q earnings contributors, however.</w:t>
      </w:r>
    </w:p>
    <w:p>
      <w:pPr>
        <w:pStyle w:val="BodyText"/>
      </w:pPr>
      <w:r>
        <w:t xml:space="preserve">The useful questions are:</w:t>
      </w:r>
    </w:p>
    <w:p>
      <w:pPr>
        <w:pStyle w:val="Compact"/>
        <w:numPr>
          <w:ilvl w:val="0"/>
          <w:numId w:val="1008"/>
        </w:numPr>
      </w:pPr>
      <w:r>
        <w:t xml:space="preserve">Is prediction-market engagement becoming financially material?</w:t>
      </w:r>
    </w:p>
    <w:p>
      <w:pPr>
        <w:pStyle w:val="Compact"/>
        <w:numPr>
          <w:ilvl w:val="0"/>
          <w:numId w:val="1008"/>
        </w:numPr>
      </w:pPr>
      <w:r>
        <w:t xml:space="preserve">Are AI integrations driving funded accounts or greater trading activity?</w:t>
      </w:r>
    </w:p>
    <w:p>
      <w:pPr>
        <w:pStyle w:val="Compact"/>
        <w:numPr>
          <w:ilvl w:val="0"/>
          <w:numId w:val="1008"/>
        </w:numPr>
      </w:pPr>
      <w:r>
        <w:t xml:space="preserve">How quickly is Korean-market access being adopted?</w:t>
      </w:r>
    </w:p>
    <w:p>
      <w:pPr>
        <w:pStyle w:val="Compact"/>
        <w:numPr>
          <w:ilvl w:val="0"/>
          <w:numId w:val="1008"/>
        </w:numPr>
      </w:pPr>
      <w:r>
        <w:t xml:space="preserve">Is crypto generating incremental clients, or mostly shifting existing client activity onto the platform?</w:t>
      </w:r>
    </w:p>
    <w:p>
      <w:pPr>
        <w:pStyle w:val="Compact"/>
        <w:numPr>
          <w:ilvl w:val="0"/>
          <w:numId w:val="1008"/>
        </w:numPr>
      </w:pPr>
      <w:r>
        <w:t xml:space="preserve">Are these products scalable without meaningfully increasing compliance and customer-service costs?</w:t>
      </w:r>
    </w:p>
    <w:p>
      <w:pPr>
        <w:pStyle w:val="FirstParagraph"/>
      </w:pPr>
      <w:r>
        <w:t xml:space="preserve">Investors should favor concrete adoption figures over a list of launches.</w:t>
      </w:r>
    </w:p>
    <w:p>
      <w:r>
        <w:pict>
          <v:rect style="width:0;height:1.5pt" o:hralign="center" o:hrstd="t" o:hr="t"/>
        </w:pict>
      </w:r>
    </w:p>
    <w:bookmarkEnd w:id="24"/>
    <w:bookmarkStart w:id="25" w:name="X5fbf073259b8c3be556c79e100adaa5cf43e5d6"/>
    <w:p>
      <w:pPr>
        <w:pStyle w:val="Heading2"/>
      </w:pPr>
      <w:r>
        <w:t xml:space="preserve">6. Currency and mark-to-market noise should be limited</w:t>
      </w:r>
    </w:p>
    <w:p>
      <w:pPr>
        <w:pStyle w:val="FirstParagraph"/>
      </w:pPr>
      <w:r>
        <w:t xml:space="preserve">IBKR’s GLOBAL currency basket declined</w:t>
      </w:r>
      <w:r>
        <w:t xml:space="preserve"> </w:t>
      </w:r>
      <w:r>
        <w:rPr>
          <w:b/>
          <w:bCs/>
        </w:rPr>
        <w:t xml:space="preserve">0.21% during the quarter</w:t>
      </w:r>
      <w:r>
        <w:t xml:space="preserve">. That will create some noise between net income, other comprehensive income, and adjusted results. The company also disclosed a negligible</w:t>
      </w:r>
      <w:r>
        <w:t xml:space="preserve"> </w:t>
      </w:r>
      <w:r>
        <w:rPr>
          <w:b/>
          <w:bCs/>
        </w:rPr>
        <w:t xml:space="preserve">$318,000 mark-to-market loss</w:t>
      </w:r>
      <w:r>
        <w:t xml:space="preserve"> </w:t>
      </w:r>
      <w:r>
        <w:t xml:space="preserve">on its U.S. government securities portfolio for the quarter. (</w:t>
      </w:r>
      <w:hyperlink r:id="rId16">
        <w:r>
          <w:rPr>
            <w:rStyle w:val="Hyperlink"/>
          </w:rPr>
          <w:t xml:space="preserve">interactivebrokers.com</w:t>
        </w:r>
      </w:hyperlink>
      <w:r>
        <w:t xml:space="preserve">)</w:t>
      </w:r>
    </w:p>
    <w:p>
      <w:pPr>
        <w:pStyle w:val="BodyText"/>
      </w:pPr>
      <w:r>
        <w:t xml:space="preserve">Because the currency-diversification effect is split between other income and OCI, the impact on GAAP EPS cannot be estimated simply by multiplying the GLOBAL movement by equity. Investors should emphasize adjusted revenue, adjusted pretax income, and adjusted EPS when evaluating the core quarter.</w:t>
      </w:r>
    </w:p>
    <w:p>
      <w:r>
        <w:pict>
          <v:rect style="width:0;height:1.5pt" o:hralign="center" o:hrstd="t" o:hr="t"/>
        </w:pict>
      </w:r>
    </w:p>
    <w:bookmarkEnd w:id="25"/>
    <w:bookmarkStart w:id="26" w:name="key-questions-for-the-call"/>
    <w:p>
      <w:pPr>
        <w:pStyle w:val="Heading2"/>
      </w:pPr>
      <w:r>
        <w:t xml:space="preserve">Key questions for the call</w:t>
      </w:r>
    </w:p>
    <w:p>
      <w:pPr>
        <w:pStyle w:val="Compact"/>
        <w:numPr>
          <w:ilvl w:val="0"/>
          <w:numId w:val="1009"/>
        </w:numPr>
      </w:pPr>
      <w:r>
        <w:rPr>
          <w:b/>
          <w:bCs/>
        </w:rPr>
        <w:t xml:space="preserve">Where did average margin loans settle during the quarter</w:t>
      </w:r>
      <w:r>
        <w:t xml:space="preserve">, and how have balances behaved in July?</w:t>
      </w:r>
    </w:p>
    <w:p>
      <w:pPr>
        <w:pStyle w:val="Compact"/>
        <w:numPr>
          <w:ilvl w:val="0"/>
          <w:numId w:val="1009"/>
        </w:numPr>
      </w:pPr>
      <w:r>
        <w:rPr>
          <w:b/>
          <w:bCs/>
        </w:rPr>
        <w:t xml:space="preserve">How sustainable are June’s 5.27 million DARTs?</w:t>
      </w:r>
    </w:p>
    <w:p>
      <w:pPr>
        <w:pStyle w:val="Compact"/>
        <w:numPr>
          <w:ilvl w:val="0"/>
          <w:numId w:val="1009"/>
        </w:numPr>
      </w:pPr>
      <w:r>
        <w:t xml:space="preserve">What drove the decline in average commission per order, and should investors expect further mix pressure?</w:t>
      </w:r>
    </w:p>
    <w:p>
      <w:pPr>
        <w:pStyle w:val="Compact"/>
        <w:numPr>
          <w:ilvl w:val="0"/>
          <w:numId w:val="1009"/>
        </w:numPr>
      </w:pPr>
      <w:r>
        <w:t xml:space="preserve">How much did securities lending contribute, particularly from hard-to-borrow names?</w:t>
      </w:r>
    </w:p>
    <w:p>
      <w:pPr>
        <w:pStyle w:val="Compact"/>
        <w:numPr>
          <w:ilvl w:val="0"/>
          <w:numId w:val="1009"/>
        </w:numPr>
      </w:pPr>
      <w:r>
        <w:t xml:space="preserve">Does management still view the introducing-broker pipeline as “exceptionally strong”?</w:t>
      </w:r>
    </w:p>
    <w:p>
      <w:pPr>
        <w:pStyle w:val="Compact"/>
        <w:numPr>
          <w:ilvl w:val="0"/>
          <w:numId w:val="1009"/>
        </w:numPr>
      </w:pPr>
      <w:r>
        <w:t xml:space="preserve">Is marketing spending accelerating, and what customer-acquisition returns is IBKR observing?</w:t>
      </w:r>
    </w:p>
    <w:p>
      <w:pPr>
        <w:pStyle w:val="Compact"/>
        <w:numPr>
          <w:ilvl w:val="0"/>
          <w:numId w:val="1009"/>
        </w:numPr>
      </w:pPr>
      <w:r>
        <w:t xml:space="preserve">How much revenue or trading activity is being generated by prediction markets and crypto?</w:t>
      </w:r>
    </w:p>
    <w:p>
      <w:pPr>
        <w:pStyle w:val="Compact"/>
        <w:numPr>
          <w:ilvl w:val="0"/>
          <w:numId w:val="1009"/>
        </w:numPr>
      </w:pPr>
      <w:r>
        <w:t xml:space="preserve">Are AI tools reducing service and onboarding costs yet, or are they still primarily an investment?</w:t>
      </w:r>
    </w:p>
    <w:p>
      <w:pPr>
        <w:pStyle w:val="Compact"/>
        <w:numPr>
          <w:ilvl w:val="0"/>
          <w:numId w:val="1009"/>
        </w:numPr>
      </w:pPr>
      <w:r>
        <w:t xml:space="preserve">Has management’s interest-rate sensitivity changed following the rapid growth in margin loans and client cash?</w:t>
      </w:r>
    </w:p>
    <w:p>
      <w:pPr>
        <w:pStyle w:val="Compact"/>
        <w:numPr>
          <w:ilvl w:val="0"/>
          <w:numId w:val="1009"/>
        </w:numPr>
      </w:pPr>
      <w:r>
        <w:t xml:space="preserve">With equity capital above $21 billion and no long-term debt, is there room for additional capital returns after the recent dividend increase?</w:t>
      </w:r>
    </w:p>
    <w:p>
      <w:r>
        <w:pict>
          <v:rect style="width:0;height:1.5pt" o:hralign="center" o:hrstd="t" o:hr="t"/>
        </w:pict>
      </w:r>
    </w:p>
    <w:bookmarkEnd w:id="26"/>
    <w:bookmarkStart w:id="30" w:name="scenario-framework"/>
    <w:p>
      <w:pPr>
        <w:pStyle w:val="Heading2"/>
      </w:pPr>
      <w:r>
        <w:t xml:space="preserve">Scenario framework</w:t>
      </w:r>
    </w:p>
    <w:bookmarkStart w:id="27" w:name="bull-case"/>
    <w:p>
      <w:pPr>
        <w:pStyle w:val="Heading3"/>
      </w:pPr>
      <w:r>
        <w:t xml:space="preserve">Bull case</w:t>
      </w:r>
    </w:p>
    <w:p>
      <w:pPr>
        <w:pStyle w:val="Compact"/>
        <w:numPr>
          <w:ilvl w:val="0"/>
          <w:numId w:val="1010"/>
        </w:numPr>
      </w:pPr>
      <w:r>
        <w:t xml:space="preserve">Adjusted revenue above</w:t>
      </w:r>
      <w:r>
        <w:t xml:space="preserve"> </w:t>
      </w:r>
      <w:r>
        <w:rPr>
          <w:b/>
          <w:bCs/>
        </w:rPr>
        <w:t xml:space="preserve">$1.80 billion</w:t>
      </w:r>
      <w:r>
        <w:t xml:space="preserve">.</w:t>
      </w:r>
    </w:p>
    <w:p>
      <w:pPr>
        <w:pStyle w:val="Compact"/>
        <w:numPr>
          <w:ilvl w:val="0"/>
          <w:numId w:val="1010"/>
        </w:numPr>
      </w:pPr>
      <w:r>
        <w:t xml:space="preserve">Adjusted EPS of approximately</w:t>
      </w:r>
      <w:r>
        <w:t xml:space="preserve"> </w:t>
      </w:r>
      <w:r>
        <w:rPr>
          <w:b/>
          <w:bCs/>
        </w:rPr>
        <w:t xml:space="preserve">$0.65 or better</w:t>
      </w:r>
      <w:r>
        <w:t xml:space="preserve">.</w:t>
      </w:r>
    </w:p>
    <w:p>
      <w:pPr>
        <w:pStyle w:val="Compact"/>
        <w:numPr>
          <w:ilvl w:val="0"/>
          <w:numId w:val="1010"/>
        </w:numPr>
      </w:pPr>
      <w:r>
        <w:t xml:space="preserve">NII near or above $1 billion.</w:t>
      </w:r>
    </w:p>
    <w:p>
      <w:pPr>
        <w:pStyle w:val="Compact"/>
        <w:numPr>
          <w:ilvl w:val="0"/>
          <w:numId w:val="1010"/>
        </w:numPr>
      </w:pPr>
      <w:r>
        <w:t xml:space="preserve">Pretax margin of 76%–78%.</w:t>
      </w:r>
    </w:p>
    <w:p>
      <w:pPr>
        <w:pStyle w:val="Compact"/>
        <w:numPr>
          <w:ilvl w:val="0"/>
          <w:numId w:val="1010"/>
        </w:numPr>
      </w:pPr>
      <w:r>
        <w:t xml:space="preserve">Account and balance growth remains strong in July.</w:t>
      </w:r>
    </w:p>
    <w:p>
      <w:pPr>
        <w:pStyle w:val="Compact"/>
        <w:numPr>
          <w:ilvl w:val="0"/>
          <w:numId w:val="1010"/>
        </w:numPr>
      </w:pPr>
      <w:r>
        <w:t xml:space="preserve">Management indicates that introducing brokers and institutional clients are contributing meaningfully to growth.</w:t>
      </w:r>
    </w:p>
    <w:bookmarkEnd w:id="27"/>
    <w:bookmarkStart w:id="28" w:name="base-case"/>
    <w:p>
      <w:pPr>
        <w:pStyle w:val="Heading3"/>
      </w:pPr>
      <w:r>
        <w:t xml:space="preserve">Base case</w:t>
      </w:r>
    </w:p>
    <w:p>
      <w:pPr>
        <w:pStyle w:val="Compact"/>
        <w:numPr>
          <w:ilvl w:val="0"/>
          <w:numId w:val="1011"/>
        </w:numPr>
      </w:pPr>
      <w:r>
        <w:t xml:space="preserve">Adjusted revenue of</w:t>
      </w:r>
      <w:r>
        <w:t xml:space="preserve"> </w:t>
      </w:r>
      <m:oMath>
        <m:r>
          <m:t>1.74</m:t>
        </m:r>
        <m:r>
          <m:rPr>
            <m:sty m:val="p"/>
          </m:rPr>
          <m:t>–</m:t>
        </m:r>
      </m:oMath>
      <w:r>
        <w:rPr>
          <w:b/>
          <w:bCs/>
        </w:rPr>
        <w:t xml:space="preserve">1.80 billion</w:t>
      </w:r>
      <w:r>
        <w:t xml:space="preserve">.</w:t>
      </w:r>
    </w:p>
    <w:p>
      <w:pPr>
        <w:pStyle w:val="Compact"/>
        <w:numPr>
          <w:ilvl w:val="0"/>
          <w:numId w:val="1011"/>
        </w:numPr>
      </w:pPr>
      <w:r>
        <w:t xml:space="preserve">Adjusted EPS of</w:t>
      </w:r>
      <w:r>
        <w:t xml:space="preserve"> </w:t>
      </w:r>
      <m:oMath>
        <m:r>
          <m:t>0.61</m:t>
        </m:r>
        <m:r>
          <m:rPr>
            <m:sty m:val="p"/>
          </m:rPr>
          <m:t>–</m:t>
        </m:r>
      </m:oMath>
      <w:r>
        <w:rPr>
          <w:b/>
          <w:bCs/>
        </w:rPr>
        <w:t xml:space="preserve">0.65</w:t>
      </w:r>
      <w:r>
        <w:t xml:space="preserve">.</w:t>
      </w:r>
    </w:p>
    <w:p>
      <w:pPr>
        <w:pStyle w:val="Compact"/>
        <w:numPr>
          <w:ilvl w:val="0"/>
          <w:numId w:val="1011"/>
        </w:numPr>
      </w:pPr>
      <w:r>
        <w:t xml:space="preserve">Strong NII and commissions, partly offset by lower revenue per trade and higher compensation or marketing expense.</w:t>
      </w:r>
    </w:p>
    <w:p>
      <w:pPr>
        <w:pStyle w:val="Compact"/>
        <w:numPr>
          <w:ilvl w:val="0"/>
          <w:numId w:val="1011"/>
        </w:numPr>
      </w:pPr>
      <w:r>
        <w:t xml:space="preserve">Pretax margin of 74%–77%.</w:t>
      </w:r>
    </w:p>
    <w:bookmarkEnd w:id="28"/>
    <w:bookmarkStart w:id="29" w:name="bear-case"/>
    <w:p>
      <w:pPr>
        <w:pStyle w:val="Heading3"/>
      </w:pPr>
      <w:r>
        <w:t xml:space="preserve">Bear case</w:t>
      </w:r>
    </w:p>
    <w:p>
      <w:pPr>
        <w:pStyle w:val="Compact"/>
        <w:numPr>
          <w:ilvl w:val="0"/>
          <w:numId w:val="1012"/>
        </w:numPr>
      </w:pPr>
      <w:r>
        <w:t xml:space="preserve">Adjusted revenue below approximately</w:t>
      </w:r>
      <w:r>
        <w:t xml:space="preserve"> </w:t>
      </w:r>
      <w:r>
        <w:rPr>
          <w:b/>
          <w:bCs/>
        </w:rPr>
        <w:t xml:space="preserve">$1.72 billion</w:t>
      </w:r>
      <w:r>
        <w:t xml:space="preserve">.</w:t>
      </w:r>
    </w:p>
    <w:p>
      <w:pPr>
        <w:pStyle w:val="Compact"/>
        <w:numPr>
          <w:ilvl w:val="0"/>
          <w:numId w:val="1012"/>
        </w:numPr>
      </w:pPr>
      <w:r>
        <w:t xml:space="preserve">Adjusted EPS below</w:t>
      </w:r>
      <w:r>
        <w:t xml:space="preserve"> </w:t>
      </w:r>
      <w:r>
        <w:rPr>
          <w:b/>
          <w:bCs/>
        </w:rPr>
        <w:t xml:space="preserve">$0.60</w:t>
      </w:r>
      <w:r>
        <w:t xml:space="preserve">.</w:t>
      </w:r>
    </w:p>
    <w:p>
      <w:pPr>
        <w:pStyle w:val="Compact"/>
        <w:numPr>
          <w:ilvl w:val="0"/>
          <w:numId w:val="1012"/>
        </w:numPr>
      </w:pPr>
      <w:r>
        <w:t xml:space="preserve">Commission yield falls more than anticipated.</w:t>
      </w:r>
    </w:p>
    <w:p>
      <w:pPr>
        <w:pStyle w:val="Compact"/>
        <w:numPr>
          <w:ilvl w:val="0"/>
          <w:numId w:val="1012"/>
        </w:numPr>
      </w:pPr>
      <w:r>
        <w:t xml:space="preserve">Average margin balances lag the strong June exit.</w:t>
      </w:r>
    </w:p>
    <w:p>
      <w:pPr>
        <w:pStyle w:val="Compact"/>
        <w:numPr>
          <w:ilvl w:val="0"/>
          <w:numId w:val="1012"/>
        </w:numPr>
      </w:pPr>
      <w:r>
        <w:t xml:space="preserve">Pretax margin falls below 74%.</w:t>
      </w:r>
    </w:p>
    <w:p>
      <w:pPr>
        <w:pStyle w:val="Compact"/>
        <w:numPr>
          <w:ilvl w:val="0"/>
          <w:numId w:val="1012"/>
        </w:numPr>
      </w:pPr>
      <w:r>
        <w:t xml:space="preserve">Management points to slowing account funding, rising expenses, or weaker July activity.</w:t>
      </w:r>
    </w:p>
    <w:p>
      <w:r>
        <w:pict>
          <v:rect style="width:0;height:1.5pt" o:hralign="center" o:hrstd="t" o:hr="t"/>
        </w:pict>
      </w:r>
    </w:p>
    <w:bookmarkEnd w:id="29"/>
    <w:bookmarkEnd w:id="30"/>
    <w:bookmarkStart w:id="31" w:name="final-assessment"/>
    <w:p>
      <w:pPr>
        <w:pStyle w:val="Heading2"/>
      </w:pPr>
      <w:r>
        <w:t xml:space="preserve">Final assessment</w:t>
      </w:r>
    </w:p>
    <w:p>
      <w:pPr>
        <w:pStyle w:val="FirstParagraph"/>
      </w:pPr>
      <w:r>
        <w:t xml:space="preserve">The pre-reported operating data make a weak quarter unlikely. IBKR appears positioned for:</w:t>
      </w:r>
    </w:p>
    <w:p>
      <w:pPr>
        <w:pStyle w:val="Compact"/>
        <w:numPr>
          <w:ilvl w:val="0"/>
          <w:numId w:val="1013"/>
        </w:numPr>
      </w:pPr>
      <w:r>
        <w:t xml:space="preserve">Another commission record.</w:t>
      </w:r>
    </w:p>
    <w:p>
      <w:pPr>
        <w:pStyle w:val="Compact"/>
        <w:numPr>
          <w:ilvl w:val="0"/>
          <w:numId w:val="1013"/>
        </w:numPr>
      </w:pPr>
      <w:r>
        <w:t xml:space="preserve">Sequentially higher net interest income.</w:t>
      </w:r>
    </w:p>
    <w:p>
      <w:pPr>
        <w:pStyle w:val="Compact"/>
        <w:numPr>
          <w:ilvl w:val="0"/>
          <w:numId w:val="1013"/>
        </w:numPr>
      </w:pPr>
      <w:r>
        <w:t xml:space="preserve">More than five million accounts.</w:t>
      </w:r>
    </w:p>
    <w:p>
      <w:pPr>
        <w:pStyle w:val="Compact"/>
        <w:numPr>
          <w:ilvl w:val="0"/>
          <w:numId w:val="1013"/>
        </w:numPr>
      </w:pPr>
      <w:r>
        <w:t xml:space="preserve">Strong operating leverage.</w:t>
      </w:r>
    </w:p>
    <w:p>
      <w:pPr>
        <w:pStyle w:val="Compact"/>
        <w:numPr>
          <w:ilvl w:val="0"/>
          <w:numId w:val="1013"/>
        </w:numPr>
      </w:pPr>
      <w:r>
        <w:t xml:space="preserve">Continued share gains across international, active-trader, and institutional markets.</w:t>
      </w:r>
    </w:p>
    <w:p>
      <w:pPr>
        <w:pStyle w:val="FirstParagraph"/>
      </w:pPr>
      <w:r>
        <w:t xml:space="preserve">But this is also a stock with a significantly higher valuation and much stronger expectations than it carried a year ago. The monthly metrics have already advertised the growth, so the shares may require more than an ordinary beat.</w:t>
      </w:r>
    </w:p>
    <w:p>
      <w:pPr>
        <w:pStyle w:val="BodyText"/>
      </w:pPr>
      <w:r>
        <w:rPr>
          <w:b/>
          <w:bCs/>
        </w:rPr>
        <w:t xml:space="preserve">The highest-quality result would not simply be EPS above consensus.</w:t>
      </w:r>
      <w:r>
        <w:t xml:space="preserve"> </w:t>
      </w:r>
      <w:r>
        <w:t xml:space="preserve">It would combine:</w:t>
      </w:r>
    </w:p>
    <w:p>
      <w:pPr>
        <w:pStyle w:val="Compact"/>
        <w:numPr>
          <w:ilvl w:val="0"/>
          <w:numId w:val="1014"/>
        </w:numPr>
      </w:pPr>
      <w:r>
        <w:t xml:space="preserve">Strong commission growth despite lower revenue per order.</w:t>
      </w:r>
    </w:p>
    <w:p>
      <w:pPr>
        <w:pStyle w:val="Compact"/>
        <w:numPr>
          <w:ilvl w:val="0"/>
          <w:numId w:val="1014"/>
        </w:numPr>
      </w:pPr>
      <w:r>
        <w:t xml:space="preserve">NII growth supported by average—not merely month-end—balances.</w:t>
      </w:r>
    </w:p>
    <w:p>
      <w:pPr>
        <w:pStyle w:val="Compact"/>
        <w:numPr>
          <w:ilvl w:val="0"/>
          <w:numId w:val="1014"/>
        </w:numPr>
      </w:pPr>
      <w:r>
        <w:t xml:space="preserve">Pretax margins remaining in the mid-to-high 70s.</w:t>
      </w:r>
    </w:p>
    <w:p>
      <w:pPr>
        <w:pStyle w:val="Compact"/>
        <w:numPr>
          <w:ilvl w:val="0"/>
          <w:numId w:val="1014"/>
        </w:numPr>
      </w:pPr>
      <w:r>
        <w:t xml:space="preserve">Evidence that account additions are well funded.</w:t>
      </w:r>
    </w:p>
    <w:p>
      <w:pPr>
        <w:pStyle w:val="Compact"/>
        <w:numPr>
          <w:ilvl w:val="0"/>
          <w:numId w:val="1014"/>
        </w:numPr>
      </w:pPr>
      <w:r>
        <w:t xml:space="preserve">Credible monetization or adoption metrics for newer products.</w:t>
      </w:r>
    </w:p>
    <w:p>
      <w:pPr>
        <w:pStyle w:val="FirstParagraph"/>
      </w:pPr>
      <w:r>
        <w:t xml:space="preserve">On balance, the setup is favorable, but the bar is high. A modest beat with durable balance growth should support the long-term thesis; a merely in-line print could produce a muted or negative reaction despite excellent underlying growth.</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bkr.interactiveadvisors.com/en/general/about/mediaRelations/6-30-26.php?utm_source=openai" TargetMode="External" /><Relationship Type="http://schemas.openxmlformats.org/officeDocument/2006/relationships/hyperlink" Id="rId21" Target="https://investors.interactivebrokers.com/en/general/about/press-releases.php?utm_source=openai" TargetMode="External" /><Relationship Type="http://schemas.openxmlformats.org/officeDocument/2006/relationships/hyperlink" Id="rId19" Target="https://www.federalreserve.gov/monetarypolicy.htm?utm_source=openai" TargetMode="External" /><Relationship Type="http://schemas.openxmlformats.org/officeDocument/2006/relationships/hyperlink" Id="rId18" Target="https://www.federalreserve.gov/newsevents/pressreleases/monetary20260617a.htm?utm_source=openai" TargetMode="External" /><Relationship Type="http://schemas.openxmlformats.org/officeDocument/2006/relationships/hyperlink" Id="rId14" Target="https://www.interactivebrokers.com/mkt/getFileNew.php?file=202604MetricsPressRelease.pdf" TargetMode="External" /><Relationship Type="http://schemas.openxmlformats.org/officeDocument/2006/relationships/hyperlink" Id="rId16" Target="https://www.interactivebrokers.com/mkt/getFileNew.php?file=202606MetricsPressRelease.pdf" TargetMode="External" /><Relationship Type="http://schemas.openxmlformats.org/officeDocument/2006/relationships/hyperlink" Id="rId12" Target="https://www.interactivebrokers.com/mkt/getFileNew.php?file=latestEarningsPR&amp;utm_source=openai" TargetMode="External" /><Relationship Type="http://schemas.openxmlformats.org/officeDocument/2006/relationships/hyperlink" Id="rId11" Target="https://www.marketbeat.com/earnings/reports/2026-7-21-interactive-brokers-group-inc-stock/?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bkr.interactiveadvisors.com/en/general/about/mediaRelations/6-30-26.php?utm_source=openai" TargetMode="External" /><Relationship Type="http://schemas.openxmlformats.org/officeDocument/2006/relationships/hyperlink" Id="rId21" Target="https://investors.interactivebrokers.com/en/general/about/press-releases.php?utm_source=openai" TargetMode="External" /><Relationship Type="http://schemas.openxmlformats.org/officeDocument/2006/relationships/hyperlink" Id="rId19" Target="https://www.federalreserve.gov/monetarypolicy.htm?utm_source=openai" TargetMode="External" /><Relationship Type="http://schemas.openxmlformats.org/officeDocument/2006/relationships/hyperlink" Id="rId18" Target="https://www.federalreserve.gov/newsevents/pressreleases/monetary20260617a.htm?utm_source=openai" TargetMode="External" /><Relationship Type="http://schemas.openxmlformats.org/officeDocument/2006/relationships/hyperlink" Id="rId14" Target="https://www.interactivebrokers.com/mkt/getFileNew.php?file=202604MetricsPressRelease.pdf" TargetMode="External" /><Relationship Type="http://schemas.openxmlformats.org/officeDocument/2006/relationships/hyperlink" Id="rId16" Target="https://www.interactivebrokers.com/mkt/getFileNew.php?file=202606MetricsPressRelease.pdf" TargetMode="External" /><Relationship Type="http://schemas.openxmlformats.org/officeDocument/2006/relationships/hyperlink" Id="rId12" Target="https://www.interactivebrokers.com/mkt/getFileNew.php?file=latestEarningsPR&amp;utm_source=openai" TargetMode="External" /><Relationship Type="http://schemas.openxmlformats.org/officeDocument/2006/relationships/hyperlink" Id="rId11" Target="https://www.marketbeat.com/earnings/reports/2026-7-21-interactive-brokers-group-inc-stock/?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2026-07-21T00:53:12Z</dcterms:created>
  <dcterms:modified xsi:type="dcterms:W3CDTF">2026-07-21T00:53:12Z</dcterms:modified>
</cp:coreProperties>
</file>

<file path=docProps/custom.xml><?xml version="1.0" encoding="utf-8"?>
<Properties xmlns="http://schemas.openxmlformats.org/officeDocument/2006/custom-properties" xmlns:vt="http://schemas.openxmlformats.org/officeDocument/2006/docPropsVTypes"/>
</file>