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ibkr-2q26-earnings-preview"/>
    <w:p>
      <w:pPr>
        <w:pStyle w:val="Heading1"/>
      </w:pPr>
      <w:r>
        <w:t xml:space="preserve">IBKR 2Q26 Earnings Preview</w:t>
      </w:r>
    </w:p>
    <w:p>
      <w:pPr>
        <w:pStyle w:val="BlockText"/>
      </w:pPr>
      <w:r>
        <w:rPr>
          <w:b/>
          <w:bCs/>
        </w:rPr>
        <w:t xml:space="preserve">Timing correction:</w:t>
      </w:r>
      <w:r>
        <w:t xml:space="preserve"> </w:t>
      </w:r>
      <w:r>
        <w:t xml:space="preserve">Interactive Brokers reports</w:t>
      </w:r>
      <w:r>
        <w:t xml:space="preserve"> </w:t>
      </w:r>
      <w:r>
        <w:rPr>
          <w:b/>
          <w:bCs/>
        </w:rPr>
        <w:t xml:space="preserve">today, Tuesday, July 21, 2026</w:t>
      </w:r>
      <w:r>
        <w:t xml:space="preserve">—not tomorrow. The company is scheduled to issue 2Q26 results at approximately</w:t>
      </w:r>
      <w:r>
        <w:t xml:space="preserve"> </w:t>
      </w:r>
      <w:r>
        <w:rPr>
          <w:b/>
          <w:bCs/>
        </w:rPr>
        <w:t xml:space="preserve">4:00 p.m. ET</w:t>
      </w:r>
      <w:r>
        <w:t xml:space="preserve">, followed by its earnings call at</w:t>
      </w:r>
      <w:r>
        <w:t xml:space="preserve"> </w:t>
      </w:r>
      <w:r>
        <w:rPr>
          <w:b/>
          <w:bCs/>
        </w:rPr>
        <w:t xml:space="preserve">4:30 p.m. ET</w:t>
      </w:r>
      <w:r>
        <w:t xml:space="preserve">.</w:t>
      </w:r>
    </w:p>
    <w:bookmarkStart w:id="9" w:name="Xd58c3708a0dd910c2adf0e568fb00298945b7bd"/>
    <w:p>
      <w:pPr>
        <w:pStyle w:val="Heading2"/>
      </w:pPr>
      <w:r>
        <w:t xml:space="preserve">Investment view: the bar is rising, but the operating setup remains strong</w:t>
      </w:r>
    </w:p>
    <w:p>
      <w:pPr>
        <w:pStyle w:val="FirstParagraph"/>
      </w:pPr>
      <w:r>
        <w:t xml:space="preserve">Interactive Brokers enters 2Q26 following an exceptionally strong first quarter: record revenue, record accounts, accelerating customer funding, robust trading activity, and a 77% pretax margin. The central earnings question is therefore not whether IBKR is growing—it plainly is—but whether it can sustain enough of that momentum to satisfy expectations after the stock’s run.</w:t>
      </w:r>
    </w:p>
    <w:p>
      <w:pPr>
        <w:pStyle w:val="BodyText"/>
      </w:pPr>
      <w:r>
        <w:t xml:space="preserve">IBKR closed at</w:t>
      </w:r>
      <w:r>
        <w:t xml:space="preserve"> </w:t>
      </w:r>
      <w:r>
        <w:rPr>
          <w:b/>
          <w:bCs/>
        </w:rPr>
        <w:t xml:space="preserve">$91.70 on July 20</w:t>
      </w:r>
      <w:r>
        <w:t xml:space="preserve">, up roughly</w:t>
      </w:r>
      <w:r>
        <w:t xml:space="preserve"> </w:t>
      </w:r>
      <w:r>
        <w:rPr>
          <w:b/>
          <w:bCs/>
        </w:rPr>
        <w:t xml:space="preserve">15%</w:t>
      </w:r>
      <w:r>
        <w:t xml:space="preserve"> </w:t>
      </w:r>
      <w:r>
        <w:t xml:space="preserve">since the April 21 earnings report, versus approximately</w:t>
      </w:r>
      <w:r>
        <w:t xml:space="preserve"> </w:t>
      </w:r>
      <w:r>
        <w:rPr>
          <w:b/>
          <w:bCs/>
        </w:rPr>
        <w:t xml:space="preserve">5%</w:t>
      </w:r>
      <w:r>
        <w:t xml:space="preserve"> </w:t>
      </w:r>
      <w:r>
        <w:t xml:space="preserve">for the S&amp;P 500 over the same period. That relative performance raises the importance of continued strength in the company’s most closely watched operating metrics: account additions, customer equity and cash balances, DARTs, commission revenue, net interest income (NII), and pretax margin.</w:t>
      </w:r>
    </w:p>
    <w:p>
      <w:pPr>
        <w:pStyle w:val="BodyText"/>
      </w:pPr>
      <w:r>
        <w:t xml:space="preserve">My overall setup is constructive. IBKR’s diversified earnings engine—commission growth from a rapidly expanding customer base plus substantial NII from customer cash, margin loans, and securities lending—should support another strong report. The major caveat is that rate pressure and a more difficult comparison for activity-related revenue could limit the degree of upside.</w:t>
      </w:r>
    </w:p>
    <w:p>
      <w:r>
        <w:pict>
          <v:rect style="width:0;height:1.5pt" o:hralign="center" o:hrstd="t" o:hr="t"/>
        </w:pict>
      </w:r>
    </w:p>
    <w:bookmarkEnd w:id="9"/>
    <w:bookmarkStart w:id="14" w:name="what-matters-most-in-the-quarter"/>
    <w:p>
      <w:pPr>
        <w:pStyle w:val="Heading2"/>
      </w:pPr>
      <w:r>
        <w:t xml:space="preserve">What matters most in the quarter</w:t>
      </w:r>
    </w:p>
    <w:bookmarkStart w:id="10" w:name="X965910c8d2550aa7104aa3cac0ead8cc0fcdefa"/>
    <w:p>
      <w:pPr>
        <w:pStyle w:val="Heading3"/>
      </w:pPr>
      <w:r>
        <w:t xml:space="preserve">1. Account growth and net new assets remain the core long-term KPI</w:t>
      </w:r>
    </w:p>
    <w:p>
      <w:pPr>
        <w:pStyle w:val="FirstParagraph"/>
      </w:pPr>
      <w:r>
        <w:t xml:space="preserve">At the end of 1Q26, IBKR had: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1Q26 operating metric</w:t>
            </w:r>
          </w:p>
        </w:tc>
        <w:tc>
          <w:tcPr/>
          <w:p>
            <w:pPr>
              <w:pStyle w:val="Compact"/>
              <w:jc w:val="right"/>
            </w:pPr>
            <w:r>
              <w:t xml:space="preserve">Result</w:t>
            </w:r>
          </w:p>
        </w:tc>
        <w:tc>
          <w:tcPr/>
          <w:p>
            <w:pPr>
              <w:pStyle w:val="Compact"/>
              <w:jc w:val="right"/>
            </w:pPr>
            <w:r>
              <w:t xml:space="preserve">YoY change</w:t>
            </w:r>
          </w:p>
        </w:tc>
      </w:tr>
      <w:tr>
        <w:tc>
          <w:tcPr/>
          <w:p>
            <w:pPr>
              <w:pStyle w:val="Compact"/>
            </w:pPr>
            <w:r>
              <w:t xml:space="preserve">Customer accounts</w:t>
            </w:r>
          </w:p>
        </w:tc>
        <w:tc>
          <w:tcPr/>
          <w:p>
            <w:pPr>
              <w:pStyle w:val="Compact"/>
              <w:jc w:val="right"/>
            </w:pPr>
            <w:r>
              <w:t xml:space="preserve">4.75 million</w:t>
            </w:r>
          </w:p>
        </w:tc>
        <w:tc>
          <w:tcPr/>
          <w:p>
            <w:pPr>
              <w:pStyle w:val="Compact"/>
              <w:jc w:val="right"/>
            </w:pPr>
            <w:r>
              <w:t xml:space="preserve">+31%</w:t>
            </w:r>
          </w:p>
        </w:tc>
      </w:tr>
      <w:tr>
        <w:tc>
          <w:tcPr/>
          <w:p>
            <w:pPr>
              <w:pStyle w:val="Compact"/>
            </w:pPr>
            <w:r>
              <w:t xml:space="preserve">Customer equity</w:t>
            </w:r>
          </w:p>
        </w:tc>
        <w:tc>
          <w:tcPr/>
          <w:p>
            <w:pPr>
              <w:pStyle w:val="Compact"/>
              <w:jc w:val="right"/>
            </w:pPr>
            <w:r>
              <w:t xml:space="preserve">$789.4 billion</w:t>
            </w:r>
          </w:p>
        </w:tc>
        <w:tc>
          <w:tcPr/>
          <w:p>
            <w:pPr>
              <w:pStyle w:val="Compact"/>
              <w:jc w:val="right"/>
            </w:pPr>
            <w:r>
              <w:t xml:space="preserve">+38%</w:t>
            </w:r>
          </w:p>
        </w:tc>
      </w:tr>
      <w:tr>
        <w:tc>
          <w:tcPr/>
          <w:p>
            <w:pPr>
              <w:pStyle w:val="Compact"/>
            </w:pPr>
            <w:r>
              <w:t xml:space="preserve">Customer credit balances</w:t>
            </w:r>
          </w:p>
        </w:tc>
        <w:tc>
          <w:tcPr/>
          <w:p>
            <w:pPr>
              <w:pStyle w:val="Compact"/>
              <w:jc w:val="right"/>
            </w:pPr>
            <w:r>
              <w:t xml:space="preserve">$168.8 billion</w:t>
            </w:r>
          </w:p>
        </w:tc>
        <w:tc>
          <w:tcPr/>
          <w:p>
            <w:pPr>
              <w:pStyle w:val="Compact"/>
              <w:jc w:val="right"/>
            </w:pPr>
            <w:r>
              <w:t xml:space="preserve">+35%</w:t>
            </w:r>
          </w:p>
        </w:tc>
      </w:tr>
      <w:tr>
        <w:tc>
          <w:tcPr/>
          <w:p>
            <w:pPr>
              <w:pStyle w:val="Compact"/>
            </w:pPr>
            <w:r>
              <w:t xml:space="preserve">Customer margin loans</w:t>
            </w:r>
          </w:p>
        </w:tc>
        <w:tc>
          <w:tcPr/>
          <w:p>
            <w:pPr>
              <w:pStyle w:val="Compact"/>
              <w:jc w:val="right"/>
            </w:pPr>
            <w:r>
              <w:t xml:space="preserve">$86.0 billion</w:t>
            </w:r>
          </w:p>
        </w:tc>
        <w:tc>
          <w:tcPr/>
          <w:p>
            <w:pPr>
              <w:pStyle w:val="Compact"/>
              <w:jc w:val="right"/>
            </w:pPr>
            <w:r>
              <w:t xml:space="preserve">+35%</w:t>
            </w:r>
          </w:p>
        </w:tc>
      </w:tr>
      <w:tr>
        <w:tc>
          <w:tcPr/>
          <w:p>
            <w:pPr>
              <w:pStyle w:val="Compact"/>
            </w:pPr>
            <w:r>
              <w:t xml:space="preserve">Customer DARTs</w:t>
            </w:r>
          </w:p>
        </w:tc>
        <w:tc>
          <w:tcPr/>
          <w:p>
            <w:pPr>
              <w:pStyle w:val="Compact"/>
              <w:jc w:val="right"/>
            </w:pPr>
            <w:r>
              <w:t xml:space="preserve">4.37 million</w:t>
            </w:r>
          </w:p>
        </w:tc>
        <w:tc>
          <w:tcPr/>
          <w:p>
            <w:pPr>
              <w:pStyle w:val="Compact"/>
              <w:jc w:val="right"/>
            </w:pPr>
            <w:r>
              <w:t xml:space="preserve">+24%</w:t>
            </w:r>
          </w:p>
        </w:tc>
      </w:tr>
    </w:tbl>
    <w:p>
      <w:pPr>
        <w:pStyle w:val="BodyText"/>
      </w:pPr>
      <w:r>
        <w:t xml:space="preserve">The key feature of the IBKR story is that customer-account growth has been faster than the growth rate at most retail brokerage peers, while customer balances have scaled alongside it. In 1Q26, accounts rose 8% sequentially, or roughly 355,000 net new accounts. A continuation of that pace would reinforce the argument that IBKR’s low-cost global offering, expanded marketing, international distribution, and product breadth are generating durable share gains.</w:t>
      </w:r>
    </w:p>
    <w:p>
      <w:pPr>
        <w:pStyle w:val="BodyText"/>
      </w:pPr>
      <w:r>
        <w:rPr>
          <w:b/>
          <w:bCs/>
        </w:rPr>
        <w:t xml:space="preserve">What investors should watch:</w:t>
      </w:r>
    </w:p>
    <w:p>
      <w:pPr>
        <w:pStyle w:val="Compact"/>
        <w:numPr>
          <w:ilvl w:val="0"/>
          <w:numId w:val="1001"/>
        </w:numPr>
      </w:pPr>
      <w:r>
        <w:t xml:space="preserve">Whether quarterly account additions remain near or above the 1Q26 level.</w:t>
      </w:r>
    </w:p>
    <w:p>
      <w:pPr>
        <w:pStyle w:val="Compact"/>
        <w:numPr>
          <w:ilvl w:val="0"/>
          <w:numId w:val="1001"/>
        </w:numPr>
      </w:pPr>
      <w:r>
        <w:t xml:space="preserve">Whether customer equity continues to compound faster than the market, implying positive net funding rather than simply market appreciation.</w:t>
      </w:r>
    </w:p>
    <w:p>
      <w:pPr>
        <w:pStyle w:val="Compact"/>
        <w:numPr>
          <w:ilvl w:val="0"/>
          <w:numId w:val="1001"/>
        </w:numPr>
      </w:pPr>
      <w:r>
        <w:t xml:space="preserve">Whether customer credit balances and margin loans extend their strong growth trajectory.</w:t>
      </w:r>
    </w:p>
    <w:p>
      <w:pPr>
        <w:pStyle w:val="FirstParagraph"/>
      </w:pPr>
      <w:r>
        <w:t xml:space="preserve">A deceleration in account adds would likely matter more to the equity story than a modest revenue or EPS variance in a single quarter.</w:t>
      </w:r>
    </w:p>
    <w:p>
      <w:r>
        <w:pict>
          <v:rect style="width:0;height:1.5pt" o:hralign="center" o:hrstd="t" o:hr="t"/>
        </w:pict>
      </w:r>
    </w:p>
    <w:bookmarkEnd w:id="10"/>
    <w:bookmarkStart w:id="11" w:name="X870fede7429deca50abf878d56b61de1218f074"/>
    <w:p>
      <w:pPr>
        <w:pStyle w:val="Heading3"/>
      </w:pPr>
      <w:r>
        <w:t xml:space="preserve">2. Commission revenue should be supported by a larger customer base and healthy activity</w:t>
      </w:r>
    </w:p>
    <w:p>
      <w:pPr>
        <w:pStyle w:val="FirstParagraph"/>
      </w:pPr>
      <w:r>
        <w:t xml:space="preserve">IBKR produced</w:t>
      </w:r>
      <w:r>
        <w:t xml:space="preserve"> </w:t>
      </w:r>
      <w:r>
        <w:rPr>
          <w:b/>
          <w:bCs/>
        </w:rPr>
        <w:t xml:space="preserve">$613 million</w:t>
      </w:r>
      <w:r>
        <w:t xml:space="preserve"> </w:t>
      </w:r>
      <w:r>
        <w:t xml:space="preserve">of commission revenue in 1Q26, up</w:t>
      </w:r>
      <w:r>
        <w:t xml:space="preserve"> </w:t>
      </w:r>
      <w:r>
        <w:rPr>
          <w:b/>
          <w:bCs/>
        </w:rPr>
        <w:t xml:space="preserve">19% year over year</w:t>
      </w:r>
      <w:r>
        <w:t xml:space="preserve">. Customer stock, options, and futures volumes increased 25%, 16%, and 20%, respectively. The company also reported that futures activity reached a quarterly record.</w:t>
      </w:r>
    </w:p>
    <w:p>
      <w:pPr>
        <w:pStyle w:val="BodyText"/>
      </w:pPr>
      <w:r>
        <w:t xml:space="preserve">For 2Q26, the favorable setup is straightforward:</w:t>
      </w:r>
    </w:p>
    <w:p>
      <w:pPr>
        <w:pStyle w:val="Compact"/>
        <w:numPr>
          <w:ilvl w:val="0"/>
          <w:numId w:val="1002"/>
        </w:numPr>
      </w:pPr>
      <w:r>
        <w:t xml:space="preserve">The account base is materially larger than a year ago.</w:t>
      </w:r>
    </w:p>
    <w:p>
      <w:pPr>
        <w:pStyle w:val="Compact"/>
        <w:numPr>
          <w:ilvl w:val="0"/>
          <w:numId w:val="1002"/>
        </w:numPr>
      </w:pPr>
      <w:r>
        <w:t xml:space="preserve">Market volatility and interest in hedging can support options and futures engagement.</w:t>
      </w:r>
    </w:p>
    <w:p>
      <w:pPr>
        <w:pStyle w:val="Compact"/>
        <w:numPr>
          <w:ilvl w:val="0"/>
          <w:numId w:val="1002"/>
        </w:numPr>
      </w:pPr>
      <w:r>
        <w:t xml:space="preserve">IBKR continues to broaden its available products—including crypto derivatives, prediction markets, overnight trading, and international offerings.</w:t>
      </w:r>
    </w:p>
    <w:p>
      <w:pPr>
        <w:pStyle w:val="Compact"/>
        <w:numPr>
          <w:ilvl w:val="0"/>
          <w:numId w:val="1002"/>
        </w:numPr>
      </w:pPr>
      <w:r>
        <w:t xml:space="preserve">The company’s growth in institutional, introducing-broker, hedge-fund, advisor, and global retail channels reduces dependence on any one product or investor type.</w:t>
      </w:r>
    </w:p>
    <w:p>
      <w:pPr>
        <w:pStyle w:val="FirstParagraph"/>
      </w:pPr>
      <w:r>
        <w:t xml:space="preserve">The offset is yield per trade. In 1Q26, commission per cleared commissionable order was</w:t>
      </w:r>
      <w:r>
        <w:t xml:space="preserve"> </w:t>
      </w:r>
      <w:r>
        <w:rPr>
          <w:b/>
          <w:bCs/>
        </w:rPr>
        <w:t xml:space="preserve">$2.69</w:t>
      </w:r>
      <w:r>
        <w:t xml:space="preserve">, only modestly above the prior quarter and below the year-ago level. That reflects IBKR’s low-price positioning and product mix, which means sustained revenue growth requires ongoing increases in accounts and customer activity rather than pricing.</w:t>
      </w:r>
    </w:p>
    <w:p>
      <w:pPr>
        <w:pStyle w:val="BodyText"/>
      </w:pPr>
      <w:r>
        <w:rPr>
          <w:b/>
          <w:bCs/>
        </w:rPr>
        <w:t xml:space="preserve">Read-through:</w:t>
      </w:r>
      <w:r>
        <w:t xml:space="preserve"> </w:t>
      </w:r>
      <w:r>
        <w:t xml:space="preserve">A material commission-revenue beat would likely require stronger-than-expected DARTs, elevated options/futures activity, or better revenue capture per trade. Conversely, merely solid trading volumes may already be partly expected.</w:t>
      </w:r>
    </w:p>
    <w:p>
      <w:r>
        <w:pict>
          <v:rect style="width:0;height:1.5pt" o:hralign="center" o:hrstd="t" o:hr="t"/>
        </w:pict>
      </w:r>
    </w:p>
    <w:bookmarkEnd w:id="11"/>
    <w:bookmarkStart w:id="12" w:name="X760f5cdba53ce7cd6c986673b44980084c38d5c"/>
    <w:p>
      <w:pPr>
        <w:pStyle w:val="Heading3"/>
      </w:pPr>
      <w:r>
        <w:t xml:space="preserve">3. Net interest income is still the largest earnings sensitivity</w:t>
      </w:r>
    </w:p>
    <w:p>
      <w:pPr>
        <w:pStyle w:val="FirstParagraph"/>
      </w:pPr>
      <w:r>
        <w:t xml:space="preserve">NII was</w:t>
      </w:r>
      <w:r>
        <w:t xml:space="preserve"> </w:t>
      </w:r>
      <w:r>
        <w:rPr>
          <w:b/>
          <w:bCs/>
        </w:rPr>
        <w:t xml:space="preserve">$904 million</w:t>
      </w:r>
      <w:r>
        <w:t xml:space="preserve"> </w:t>
      </w:r>
      <w:r>
        <w:t xml:space="preserve">in 1Q26, up</w:t>
      </w:r>
      <w:r>
        <w:t xml:space="preserve"> </w:t>
      </w:r>
      <w:r>
        <w:rPr>
          <w:b/>
          <w:bCs/>
        </w:rPr>
        <w:t xml:space="preserve">17% year over year</w:t>
      </w:r>
      <w:r>
        <w:t xml:space="preserve">, and represented more than half of total net revenue. IBKR benefited from sharply higher average customer cash, margin-loan, segregated-cash, and securities-lending balances, partially offset by lower benchmark rates.</w:t>
      </w:r>
    </w:p>
    <w:p>
      <w:pPr>
        <w:pStyle w:val="BodyText"/>
      </w:pPr>
      <w:r>
        <w:t xml:space="preserve">This will be the most important line item to assess in 2Q26 because it determines whether balance-sheet growth can continue to offset rate-related compression.</w:t>
      </w:r>
    </w:p>
    <w:p>
      <w:pPr>
        <w:pStyle w:val="BodyText"/>
      </w:pPr>
      <w:r>
        <w:t xml:space="preserve">At the 1Q26 call, management estimated that:</w:t>
      </w:r>
    </w:p>
    <w:p>
      <w:pPr>
        <w:pStyle w:val="Compact"/>
        <w:numPr>
          <w:ilvl w:val="0"/>
          <w:numId w:val="1003"/>
        </w:numPr>
      </w:pPr>
      <w:r>
        <w:t xml:space="preserve">A</w:t>
      </w:r>
      <w:r>
        <w:t xml:space="preserve"> </w:t>
      </w:r>
      <w:r>
        <w:rPr>
          <w:b/>
          <w:bCs/>
        </w:rPr>
        <w:t xml:space="preserve">25-basis-point reduction in U.S. Fed funds</w:t>
      </w:r>
      <w:r>
        <w:t xml:space="preserve"> </w:t>
      </w:r>
      <w:r>
        <w:t xml:space="preserve">would reduce annual NII by approximately</w:t>
      </w:r>
      <w:r>
        <w:t xml:space="preserve"> </w:t>
      </w:r>
      <w:r>
        <w:rPr>
          <w:b/>
          <w:bCs/>
        </w:rPr>
        <w:t xml:space="preserve">$80 million</w:t>
      </w:r>
      <w:r>
        <w:t xml:space="preserve">, based on March 31 balances.</w:t>
      </w:r>
    </w:p>
    <w:p>
      <w:pPr>
        <w:pStyle w:val="Compact"/>
        <w:numPr>
          <w:ilvl w:val="0"/>
          <w:numId w:val="1003"/>
        </w:numPr>
      </w:pPr>
      <w:r>
        <w:t xml:space="preserve">A 25-basis-point decline in relevant non-U.S.-dollar benchmark rates would reduce annual NII by another approximately</w:t>
      </w:r>
      <w:r>
        <w:t xml:space="preserve"> </w:t>
      </w:r>
      <w:r>
        <w:rPr>
          <w:b/>
          <w:bCs/>
        </w:rPr>
        <w:t xml:space="preserve">$35 million</w:t>
      </w:r>
      <w:r>
        <w:t xml:space="preserve">.</w:t>
      </w:r>
    </w:p>
    <w:p>
      <w:pPr>
        <w:pStyle w:val="FirstParagraph"/>
      </w:pPr>
      <w:r>
        <w:t xml:space="preserve">Those sensitivities are significant, but balance growth is a meaningful mitigant. In particular, continued growth in customer cash and margin loans can counter a lower yield environment. IBKR also emphasized that it keeps its investment portfolio duration below 30 days, limiting duration risk but making reported economics responsive to changing short-term benchmark rates.</w:t>
      </w:r>
    </w:p>
    <w:p>
      <w:pPr>
        <w:pStyle w:val="BodyText"/>
      </w:pPr>
      <w:r>
        <w:rPr>
          <w:b/>
          <w:bCs/>
        </w:rPr>
        <w:t xml:space="preserve">What to watch in the release and call:</w:t>
      </w:r>
    </w:p>
    <w:p>
      <w:pPr>
        <w:numPr>
          <w:ilvl w:val="0"/>
          <w:numId w:val="1004"/>
        </w:numPr>
      </w:pPr>
      <w:r>
        <w:rPr>
          <w:b/>
          <w:bCs/>
        </w:rPr>
        <w:t xml:space="preserve">NII growth versus 1Q26 and 2Q25.</w:t>
      </w:r>
      <w:r>
        <w:br/>
      </w:r>
      <w:r>
        <w:t xml:space="preserve">A sequential decline may be acceptable if explained by rate effects, but investors will want to see balance growth cushioning the impact.</w:t>
      </w:r>
    </w:p>
    <w:p>
      <w:pPr>
        <w:numPr>
          <w:ilvl w:val="0"/>
          <w:numId w:val="1004"/>
        </w:numPr>
      </w:pPr>
      <w:r>
        <w:rPr>
          <w:b/>
          <w:bCs/>
        </w:rPr>
        <w:t xml:space="preserve">Margin-loan balances.</w:t>
      </w:r>
      <w:r>
        <w:br/>
      </w:r>
      <w:r>
        <w:t xml:space="preserve">These are highly valuable interest-earning assets and tend to benefit from stronger markets and customer risk appetite.</w:t>
      </w:r>
    </w:p>
    <w:p>
      <w:pPr>
        <w:numPr>
          <w:ilvl w:val="0"/>
          <w:numId w:val="1004"/>
        </w:numPr>
      </w:pPr>
      <w:r>
        <w:rPr>
          <w:b/>
          <w:bCs/>
        </w:rPr>
        <w:t xml:space="preserve">Customer cash balances.</w:t>
      </w:r>
      <w:r>
        <w:br/>
      </w:r>
      <w:r>
        <w:t xml:space="preserve">Continued growth expands the earnings base, though IBKR’s relatively client-friendly cash-rate policy means the company shares part of the benefit with customers.</w:t>
      </w:r>
    </w:p>
    <w:p>
      <w:pPr>
        <w:numPr>
          <w:ilvl w:val="0"/>
          <w:numId w:val="1004"/>
        </w:numPr>
      </w:pPr>
      <w:r>
        <w:rPr>
          <w:b/>
          <w:bCs/>
        </w:rPr>
        <w:t xml:space="preserve">Securities-lending economics.</w:t>
      </w:r>
      <w:r>
        <w:br/>
      </w:r>
      <w:r>
        <w:t xml:space="preserve">Management estimated total securities-lending-related revenue of roughly $270 million in 1Q26, up 45% year over year. This can be an important upside contributor but is more variable than core customer-cash economics.</w:t>
      </w:r>
    </w:p>
    <w:p>
      <w:r>
        <w:pict>
          <v:rect style="width:0;height:1.5pt" o:hralign="center" o:hrstd="t" o:hr="t"/>
        </w:pict>
      </w:r>
    </w:p>
    <w:bookmarkEnd w:id="12"/>
    <w:bookmarkStart w:id="13" w:name="Xc384f51fc011f16888670ae8ea78410ec5e6126"/>
    <w:p>
      <w:pPr>
        <w:pStyle w:val="Heading3"/>
      </w:pPr>
      <w:r>
        <w:t xml:space="preserve">4. Margins should remain exceptional, but the market may focus on incremental expense investment</w:t>
      </w:r>
    </w:p>
    <w:p>
      <w:pPr>
        <w:pStyle w:val="FirstParagraph"/>
      </w:pPr>
      <w:r>
        <w:t xml:space="preserve">IBKR generated a</w:t>
      </w:r>
      <w:r>
        <w:t xml:space="preserve"> </w:t>
      </w:r>
      <w:r>
        <w:rPr>
          <w:b/>
          <w:bCs/>
        </w:rPr>
        <w:t xml:space="preserve">77% pretax margin</w:t>
      </w:r>
      <w:r>
        <w:t xml:space="preserve"> </w:t>
      </w:r>
      <w:r>
        <w:t xml:space="preserve">in 1Q26, its sixth consecutive quarter above 70%. This is the company’s defining advantage: automated operations and scalable technology allow revenue growth to fall through at unusually high incremental margins.</w:t>
      </w:r>
    </w:p>
    <w:p>
      <w:pPr>
        <w:pStyle w:val="BodyText"/>
      </w:pPr>
      <w:r>
        <w:t xml:space="preserve">The potential pressure point is deliberate investment. Management is increasing marketing spending, expanding internationally, adding products, and deploying AI across client service, onboarding, compliance, research tools, and internal workflows. Marketing was already a driver of higher general and administrative expense in prior quarters, and management has said it intends to expand spending only when it can achieve a sufficient return.</w:t>
      </w:r>
    </w:p>
    <w:p>
      <w:pPr>
        <w:pStyle w:val="BodyText"/>
      </w:pPr>
      <w:r>
        <w:t xml:space="preserve">Investors should be comfortable with moderate expense growth if it is paired with sustained account additions. In fact, a more important negative signal would be slowing account growth</w:t>
      </w:r>
      <w:r>
        <w:t xml:space="preserve"> </w:t>
      </w:r>
      <w:r>
        <w:rPr>
          <w:i/>
          <w:iCs/>
        </w:rPr>
        <w:t xml:space="preserve">without</w:t>
      </w:r>
      <w:r>
        <w:t xml:space="preserve"> </w:t>
      </w:r>
      <w:r>
        <w:t xml:space="preserve">an accompanying reduction in marketing or operating investment.</w:t>
      </w:r>
    </w:p>
    <w:p>
      <w:pPr>
        <w:pStyle w:val="BodyText"/>
      </w:pPr>
      <w:r>
        <w:rPr>
          <w:b/>
          <w:bCs/>
        </w:rPr>
        <w:t xml:space="preserve">Key framing:</w:t>
      </w:r>
      <w:r>
        <w:t xml:space="preserve"> </w:t>
      </w:r>
      <w:r>
        <w:t xml:space="preserve">margin durability matters more than a one-quarter change. A mid-70s pretax margin alongside continued investment in distribution and product expansion would still validate the company’s operating model.</w:t>
      </w:r>
    </w:p>
    <w:p>
      <w:r>
        <w:pict>
          <v:rect style="width:0;height:1.5pt" o:hralign="center" o:hrstd="t" o:hr="t"/>
        </w:pict>
      </w:r>
    </w:p>
    <w:bookmarkEnd w:id="13"/>
    <w:bookmarkEnd w:id="14"/>
    <w:bookmarkStart w:id="15" w:name="baseline-comparison-2q25-versus-1q26"/>
    <w:p>
      <w:pPr>
        <w:pStyle w:val="Heading2"/>
      </w:pPr>
      <w:r>
        <w:t xml:space="preserve">Baseline comparison: 2Q25 versus 1Q26</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2Q25</w:t>
            </w:r>
          </w:p>
        </w:tc>
        <w:tc>
          <w:tcPr/>
          <w:p>
            <w:pPr>
              <w:pStyle w:val="Compact"/>
              <w:jc w:val="right"/>
            </w:pPr>
            <w:r>
              <w:t xml:space="preserve">1Q26</w:t>
            </w:r>
          </w:p>
        </w:tc>
        <w:tc>
          <w:tcPr/>
          <w:p>
            <w:pPr>
              <w:pStyle w:val="Compact"/>
            </w:pPr>
            <w:r>
              <w:t xml:space="preserve">Implication for 2Q26</w:t>
            </w:r>
          </w:p>
        </w:tc>
      </w:tr>
      <w:tr>
        <w:tc>
          <w:tcPr/>
          <w:p>
            <w:pPr>
              <w:pStyle w:val="Compact"/>
            </w:pPr>
            <w:r>
              <w:t xml:space="preserve">Adjusted EPS</w:t>
            </w:r>
          </w:p>
        </w:tc>
        <w:tc>
          <w:tcPr/>
          <w:p>
            <w:pPr>
              <w:pStyle w:val="Compact"/>
              <w:jc w:val="right"/>
            </w:pPr>
            <w:r>
              <w:t xml:space="preserve">$0.51</w:t>
            </w:r>
          </w:p>
        </w:tc>
        <w:tc>
          <w:tcPr/>
          <w:p>
            <w:pPr>
              <w:pStyle w:val="Compact"/>
              <w:jc w:val="right"/>
            </w:pPr>
            <w:r>
              <w:t xml:space="preserve">$0.60</w:t>
            </w:r>
          </w:p>
        </w:tc>
        <w:tc>
          <w:tcPr/>
          <w:p>
            <w:pPr>
              <w:pStyle w:val="Compact"/>
            </w:pPr>
            <w:r>
              <w:t xml:space="preserve">Earnings base has stepped up materially</w:t>
            </w:r>
          </w:p>
        </w:tc>
      </w:tr>
      <w:tr>
        <w:tc>
          <w:tcPr/>
          <w:p>
            <w:pPr>
              <w:pStyle w:val="Compact"/>
            </w:pPr>
            <w:r>
              <w:t xml:space="preserve">Net revenue</w:t>
            </w:r>
          </w:p>
        </w:tc>
        <w:tc>
          <w:tcPr/>
          <w:p>
            <w:pPr>
              <w:pStyle w:val="Compact"/>
              <w:jc w:val="right"/>
            </w:pPr>
            <w:r>
              <w:t xml:space="preserve">$1.48B</w:t>
            </w:r>
          </w:p>
        </w:tc>
        <w:tc>
          <w:tcPr/>
          <w:p>
            <w:pPr>
              <w:pStyle w:val="Compact"/>
              <w:jc w:val="right"/>
            </w:pPr>
            <w:r>
              <w:t xml:space="preserve">$1.68B</w:t>
            </w:r>
          </w:p>
        </w:tc>
        <w:tc>
          <w:tcPr/>
          <w:p>
            <w:pPr>
              <w:pStyle w:val="Compact"/>
            </w:pPr>
            <w:r>
              <w:t xml:space="preserve">Strong growth creates a higher comparison bar</w:t>
            </w:r>
          </w:p>
        </w:tc>
      </w:tr>
      <w:tr>
        <w:tc>
          <w:tcPr/>
          <w:p>
            <w:pPr>
              <w:pStyle w:val="Compact"/>
            </w:pPr>
            <w:r>
              <w:t xml:space="preserve">Commission revenue</w:t>
            </w:r>
          </w:p>
        </w:tc>
        <w:tc>
          <w:tcPr/>
          <w:p>
            <w:pPr>
              <w:pStyle w:val="Compact"/>
              <w:jc w:val="right"/>
            </w:pPr>
            <w:r>
              <w:t xml:space="preserve">$516M</w:t>
            </w:r>
          </w:p>
        </w:tc>
        <w:tc>
          <w:tcPr/>
          <w:p>
            <w:pPr>
              <w:pStyle w:val="Compact"/>
              <w:jc w:val="right"/>
            </w:pPr>
            <w:r>
              <w:t xml:space="preserve">$613M</w:t>
            </w:r>
          </w:p>
        </w:tc>
        <w:tc>
          <w:tcPr/>
          <w:p>
            <w:pPr>
              <w:pStyle w:val="Compact"/>
            </w:pPr>
            <w:r>
              <w:t xml:space="preserve">Customer growth should support further YoY expansion</w:t>
            </w:r>
          </w:p>
        </w:tc>
      </w:tr>
      <w:tr>
        <w:tc>
          <w:tcPr/>
          <w:p>
            <w:pPr>
              <w:pStyle w:val="Compact"/>
            </w:pPr>
            <w:r>
              <w:t xml:space="preserve">Net interest income</w:t>
            </w:r>
          </w:p>
        </w:tc>
        <w:tc>
          <w:tcPr/>
          <w:p>
            <w:pPr>
              <w:pStyle w:val="Compact"/>
              <w:jc w:val="right"/>
            </w:pPr>
            <w:r>
              <w:t xml:space="preserve">$860M</w:t>
            </w:r>
          </w:p>
        </w:tc>
        <w:tc>
          <w:tcPr/>
          <w:p>
            <w:pPr>
              <w:pStyle w:val="Compact"/>
              <w:jc w:val="right"/>
            </w:pPr>
            <w:r>
              <w:t xml:space="preserve">$904M</w:t>
            </w:r>
          </w:p>
        </w:tc>
        <w:tc>
          <w:tcPr/>
          <w:p>
            <w:pPr>
              <w:pStyle w:val="Compact"/>
            </w:pPr>
            <w:r>
              <w:t xml:space="preserve">Balance growth offsets some rate pressure</w:t>
            </w:r>
          </w:p>
        </w:tc>
      </w:tr>
      <w:tr>
        <w:tc>
          <w:tcPr/>
          <w:p>
            <w:pPr>
              <w:pStyle w:val="Compact"/>
            </w:pPr>
            <w:r>
              <w:t xml:space="preserve">Pretax margin</w:t>
            </w:r>
          </w:p>
        </w:tc>
        <w:tc>
          <w:tcPr/>
          <w:p>
            <w:pPr>
              <w:pStyle w:val="Compact"/>
              <w:jc w:val="right"/>
            </w:pPr>
            <w:r>
              <w:t xml:space="preserve">75%</w:t>
            </w:r>
          </w:p>
        </w:tc>
        <w:tc>
          <w:tcPr/>
          <w:p>
            <w:pPr>
              <w:pStyle w:val="Compact"/>
              <w:jc w:val="right"/>
            </w:pPr>
            <w:r>
              <w:t xml:space="preserve">77%</w:t>
            </w:r>
          </w:p>
        </w:tc>
        <w:tc>
          <w:tcPr/>
          <w:p>
            <w:pPr>
              <w:pStyle w:val="Compact"/>
            </w:pPr>
            <w:r>
              <w:t xml:space="preserve">Margin expectations are elevated</w:t>
            </w:r>
          </w:p>
        </w:tc>
      </w:tr>
      <w:tr>
        <w:tc>
          <w:tcPr/>
          <w:p>
            <w:pPr>
              <w:pStyle w:val="Compact"/>
            </w:pPr>
            <w:r>
              <w:t xml:space="preserve">Accounts</w:t>
            </w:r>
          </w:p>
        </w:tc>
        <w:tc>
          <w:tcPr/>
          <w:p>
            <w:pPr>
              <w:pStyle w:val="Compact"/>
              <w:jc w:val="right"/>
            </w:pPr>
            <w:r>
              <w:t xml:space="preserve">3.87M</w:t>
            </w:r>
          </w:p>
        </w:tc>
        <w:tc>
          <w:tcPr/>
          <w:p>
            <w:pPr>
              <w:pStyle w:val="Compact"/>
              <w:jc w:val="right"/>
            </w:pPr>
            <w:r>
              <w:t xml:space="preserve">4.75M</w:t>
            </w:r>
          </w:p>
        </w:tc>
        <w:tc>
          <w:tcPr/>
          <w:p>
            <w:pPr>
              <w:pStyle w:val="Compact"/>
            </w:pPr>
            <w:r>
              <w:t xml:space="preserve">Scale remains the central growth driver</w:t>
            </w:r>
          </w:p>
        </w:tc>
      </w:tr>
      <w:tr>
        <w:tc>
          <w:tcPr/>
          <w:p>
            <w:pPr>
              <w:pStyle w:val="Compact"/>
            </w:pPr>
            <w:r>
              <w:t xml:space="preserve">Customer equity</w:t>
            </w:r>
          </w:p>
        </w:tc>
        <w:tc>
          <w:tcPr/>
          <w:p>
            <w:pPr>
              <w:pStyle w:val="Compact"/>
              <w:jc w:val="right"/>
            </w:pPr>
            <w:r>
              <w:t xml:space="preserve">$664.6B</w:t>
            </w:r>
          </w:p>
        </w:tc>
        <w:tc>
          <w:tcPr/>
          <w:p>
            <w:pPr>
              <w:pStyle w:val="Compact"/>
              <w:jc w:val="right"/>
            </w:pPr>
            <w:r>
              <w:t xml:space="preserve">$789.4B</w:t>
            </w:r>
          </w:p>
        </w:tc>
        <w:tc>
          <w:tcPr/>
          <w:p>
            <w:pPr>
              <w:pStyle w:val="Compact"/>
            </w:pPr>
            <w:r>
              <w:t xml:space="preserve">Funding and market levels support monetization</w:t>
            </w:r>
          </w:p>
        </w:tc>
      </w:tr>
      <w:tr>
        <w:tc>
          <w:tcPr/>
          <w:p>
            <w:pPr>
              <w:pStyle w:val="Compact"/>
            </w:pPr>
            <w:r>
              <w:t xml:space="preserve">Customer DARTs</w:t>
            </w:r>
          </w:p>
        </w:tc>
        <w:tc>
          <w:tcPr/>
          <w:p>
            <w:pPr>
              <w:pStyle w:val="Compact"/>
              <w:jc w:val="right"/>
            </w:pPr>
            <w:r>
              <w:t xml:space="preserve">3.55M</w:t>
            </w:r>
          </w:p>
        </w:tc>
        <w:tc>
          <w:tcPr/>
          <w:p>
            <w:pPr>
              <w:pStyle w:val="Compact"/>
              <w:jc w:val="right"/>
            </w:pPr>
            <w:r>
              <w:t xml:space="preserve">4.37M</w:t>
            </w:r>
          </w:p>
        </w:tc>
        <w:tc>
          <w:tcPr/>
          <w:p>
            <w:pPr>
              <w:pStyle w:val="Compact"/>
            </w:pPr>
            <w:r>
              <w:t xml:space="preserve">Activity remains favorable</w:t>
            </w:r>
          </w:p>
        </w:tc>
      </w:tr>
    </w:tbl>
    <w:p>
      <w:r>
        <w:pict>
          <v:rect style="width:0;height:1.5pt" o:hralign="center" o:hrstd="t" o:hr="t"/>
        </w:pict>
      </w:r>
    </w:p>
    <w:bookmarkEnd w:id="15"/>
    <w:bookmarkStart w:id="20" w:name="key-call-topics"/>
    <w:p>
      <w:pPr>
        <w:pStyle w:val="Heading2"/>
      </w:pPr>
      <w:r>
        <w:t xml:space="preserve">Key call topics</w:t>
      </w:r>
    </w:p>
    <w:bookmarkStart w:id="16" w:name="Xc8f6b3cac531075fe377d74099bedf4f30c736e"/>
    <w:p>
      <w:pPr>
        <w:pStyle w:val="Heading3"/>
      </w:pPr>
      <w:r>
        <w:t xml:space="preserve">Account growth, marketing, and international expansion</w:t>
      </w:r>
    </w:p>
    <w:p>
      <w:pPr>
        <w:pStyle w:val="FirstParagraph"/>
      </w:pPr>
      <w:r>
        <w:t xml:space="preserve">Management should be pressed on whether the 1Q26 account-add pace continued through the quarter, and on the return profile of increased marketing. The company has characterized its introducing-broker pipeline as “exceptionally strong,” particularly for larger and international partners that need customized functionality.</w:t>
      </w:r>
    </w:p>
    <w:bookmarkEnd w:id="16"/>
    <w:bookmarkStart w:id="17" w:name="rate-sensitivity-and-the-nii-outlook"/>
    <w:p>
      <w:pPr>
        <w:pStyle w:val="Heading3"/>
      </w:pPr>
      <w:r>
        <w:t xml:space="preserve">Rate sensitivity and the NII outlook</w:t>
      </w:r>
    </w:p>
    <w:p>
      <w:pPr>
        <w:pStyle w:val="FirstParagraph"/>
      </w:pPr>
      <w:r>
        <w:t xml:space="preserve">The most useful disclosure would be an updated sensitivity table using June 30 balances, plus commentary on average versus ending cash and margin balances during the quarter. Investors should distinguish between an expected rate-driven yield decline and a deterioration in underlying customer economics.</w:t>
      </w:r>
    </w:p>
    <w:bookmarkEnd w:id="17"/>
    <w:bookmarkStart w:id="18" w:name="X3a7ce1d2a85da519e1b77bb729a972f46885f76"/>
    <w:p>
      <w:pPr>
        <w:pStyle w:val="Heading3"/>
      </w:pPr>
      <w:r>
        <w:t xml:space="preserve">Prediction markets, crypto, and overnight trading</w:t>
      </w:r>
    </w:p>
    <w:p>
      <w:pPr>
        <w:pStyle w:val="FirstParagraph"/>
      </w:pPr>
      <w:r>
        <w:t xml:space="preserve">These are unlikely to drive near-term earnings materially, but they are relevant to engagement, retention, and long-term differentiation. In 1Q26, overnight trades nearly tripled year over year to 8.1 million. Management also suggested that ForecastEx is drawing increasing institutional interest and continues to build crypto capabilities across regions.</w:t>
      </w:r>
    </w:p>
    <w:bookmarkEnd w:id="18"/>
    <w:bookmarkStart w:id="19" w:name="ai-and-operating-leverage"/>
    <w:p>
      <w:pPr>
        <w:pStyle w:val="Heading3"/>
      </w:pPr>
      <w:r>
        <w:t xml:space="preserve">AI and operating leverage</w:t>
      </w:r>
    </w:p>
    <w:p>
      <w:pPr>
        <w:pStyle w:val="FirstParagraph"/>
      </w:pPr>
      <w:r>
        <w:t xml:space="preserve">IBKR’s AI initiatives are more strategically relevant than immediately financial: portfolio insights, research tools, client support, onboarding, compliance, and operational automation all fit the company’s core automation culture. The key is whether AI helps preserve the firm’s unusually low operating-cost structure while it adds customers and products.</w:t>
      </w:r>
    </w:p>
    <w:p>
      <w:r>
        <w:pict>
          <v:rect style="width:0;height:1.5pt" o:hralign="center" o:hrstd="t" o:hr="t"/>
        </w:pict>
      </w:r>
    </w:p>
    <w:bookmarkEnd w:id="19"/>
    <w:bookmarkEnd w:id="20"/>
    <w:bookmarkStart w:id="21" w:name="what-would-constitute-a-positive-report"/>
    <w:p>
      <w:pPr>
        <w:pStyle w:val="Heading2"/>
      </w:pPr>
      <w:r>
        <w:t xml:space="preserve">What would constitute a positive report?</w:t>
      </w:r>
    </w:p>
    <w:p>
      <w:pPr>
        <w:pStyle w:val="FirstParagraph"/>
      </w:pPr>
      <w:r>
        <w:t xml:space="preserve">A favorable 2Q26 outcome would likely include:</w:t>
      </w:r>
    </w:p>
    <w:p>
      <w:pPr>
        <w:pStyle w:val="Compact"/>
        <w:numPr>
          <w:ilvl w:val="0"/>
          <w:numId w:val="1005"/>
        </w:numPr>
      </w:pPr>
      <w:r>
        <w:t xml:space="preserve">Account additions that remain near 1Q26 levels or otherwise demonstrate continued strong organic momentum.</w:t>
      </w:r>
    </w:p>
    <w:p>
      <w:pPr>
        <w:pStyle w:val="Compact"/>
        <w:numPr>
          <w:ilvl w:val="0"/>
          <w:numId w:val="1005"/>
        </w:numPr>
      </w:pPr>
      <w:r>
        <w:t xml:space="preserve">Double-digit commission-revenue growth, supported by DARTs and options/futures activity.</w:t>
      </w:r>
    </w:p>
    <w:p>
      <w:pPr>
        <w:pStyle w:val="Compact"/>
        <w:numPr>
          <w:ilvl w:val="0"/>
          <w:numId w:val="1005"/>
        </w:numPr>
      </w:pPr>
      <w:r>
        <w:t xml:space="preserve">NII that holds up better than investors fear despite any benchmark-rate headwind.</w:t>
      </w:r>
    </w:p>
    <w:p>
      <w:pPr>
        <w:pStyle w:val="Compact"/>
        <w:numPr>
          <w:ilvl w:val="0"/>
          <w:numId w:val="1005"/>
        </w:numPr>
      </w:pPr>
      <w:r>
        <w:t xml:space="preserve">Continued growth in customer cash, equity, and margin loans.</w:t>
      </w:r>
    </w:p>
    <w:p>
      <w:pPr>
        <w:pStyle w:val="Compact"/>
        <w:numPr>
          <w:ilvl w:val="0"/>
          <w:numId w:val="1005"/>
        </w:numPr>
      </w:pPr>
      <w:r>
        <w:t xml:space="preserve">Pretax margin in the mid-70% range or better.</w:t>
      </w:r>
    </w:p>
    <w:p>
      <w:pPr>
        <w:pStyle w:val="Compact"/>
        <w:numPr>
          <w:ilvl w:val="0"/>
          <w:numId w:val="1005"/>
        </w:numPr>
      </w:pPr>
      <w:r>
        <w:t xml:space="preserve">Evidence that marketing spend is generating efficient customer acquisition.</w:t>
      </w:r>
    </w:p>
    <w:p>
      <w:pPr>
        <w:pStyle w:val="Compact"/>
        <w:numPr>
          <w:ilvl w:val="0"/>
          <w:numId w:val="1005"/>
        </w:numPr>
      </w:pPr>
      <w:r>
        <w:t xml:space="preserve">Constructive commentary around the introducing-broker pipeline, international growth, and product adoption.</w:t>
      </w:r>
    </w:p>
    <w:bookmarkEnd w:id="21"/>
    <w:bookmarkStart w:id="22" w:name="what-could-disappoint"/>
    <w:p>
      <w:pPr>
        <w:pStyle w:val="Heading2"/>
      </w:pPr>
      <w:r>
        <w:t xml:space="preserve">What could disappoint?</w:t>
      </w:r>
    </w:p>
    <w:p>
      <w:pPr>
        <w:pStyle w:val="FirstParagraph"/>
      </w:pPr>
      <w:r>
        <w:t xml:space="preserve">The primary risks heading into the report are:</w:t>
      </w:r>
    </w:p>
    <w:p>
      <w:pPr>
        <w:pStyle w:val="Compact"/>
        <w:numPr>
          <w:ilvl w:val="0"/>
          <w:numId w:val="1006"/>
        </w:numPr>
      </w:pPr>
      <w:r>
        <w:t xml:space="preserve">A sharp sequential slowing in account additions.</w:t>
      </w:r>
    </w:p>
    <w:p>
      <w:pPr>
        <w:pStyle w:val="Compact"/>
        <w:numPr>
          <w:ilvl w:val="0"/>
          <w:numId w:val="1006"/>
        </w:numPr>
      </w:pPr>
      <w:r>
        <w:t xml:space="preserve">NII pressure that balance growth does not offset.</w:t>
      </w:r>
    </w:p>
    <w:p>
      <w:pPr>
        <w:pStyle w:val="Compact"/>
        <w:numPr>
          <w:ilvl w:val="0"/>
          <w:numId w:val="1006"/>
        </w:numPr>
      </w:pPr>
      <w:r>
        <w:t xml:space="preserve">Lower customer trading engagement or weaker commission capture per order.</w:t>
      </w:r>
    </w:p>
    <w:p>
      <w:pPr>
        <w:pStyle w:val="Compact"/>
        <w:numPr>
          <w:ilvl w:val="0"/>
          <w:numId w:val="1006"/>
        </w:numPr>
      </w:pPr>
      <w:r>
        <w:t xml:space="preserve">Meaningful expense growth without a corresponding acceleration in customer acquisition.</w:t>
      </w:r>
    </w:p>
    <w:p>
      <w:pPr>
        <w:pStyle w:val="Compact"/>
        <w:numPr>
          <w:ilvl w:val="0"/>
          <w:numId w:val="1006"/>
        </w:numPr>
      </w:pPr>
      <w:r>
        <w:t xml:space="preserve">A softer outlook on global retail participation, margin borrowing, or institutional/introducing-broker conversion.</w:t>
      </w:r>
    </w:p>
    <w:p>
      <w:pPr>
        <w:pStyle w:val="Compact"/>
        <w:numPr>
          <w:ilvl w:val="0"/>
          <w:numId w:val="1006"/>
        </w:numPr>
      </w:pPr>
      <w:r>
        <w:t xml:space="preserve">A stock reaction driven by elevated expectations even if headline EPS and revenue are solid.</w:t>
      </w:r>
    </w:p>
    <w:p>
      <w:r>
        <w:pict>
          <v:rect style="width:0;height:1.5pt" o:hralign="center" o:hrstd="t" o:hr="t"/>
        </w:pict>
      </w:r>
    </w:p>
    <w:bookmarkEnd w:id="22"/>
    <w:bookmarkStart w:id="23" w:name="bottom-line"/>
    <w:p>
      <w:pPr>
        <w:pStyle w:val="Heading2"/>
      </w:pPr>
      <w:r>
        <w:t xml:space="preserve">Bottom line</w:t>
      </w:r>
    </w:p>
    <w:p>
      <w:pPr>
        <w:pStyle w:val="FirstParagraph"/>
      </w:pPr>
      <w:r>
        <w:t xml:space="preserve">IBKR’s 2Q26 report is principally a test of</w:t>
      </w:r>
      <w:r>
        <w:t xml:space="preserve"> </w:t>
      </w:r>
      <w:r>
        <w:rPr>
          <w:b/>
          <w:bCs/>
        </w:rPr>
        <w:t xml:space="preserve">durability rather than direction</w:t>
      </w:r>
      <w:r>
        <w:t xml:space="preserve">. The company has already demonstrated that it can combine rapid customer growth, high customer funding, strong trading activity, and industry-leading profitability. The next debate is whether NII can remain resilient in a lower-rate environment and whether growth investments can keep expanding the account base without compromising the model’s exceptional margins.</w:t>
      </w:r>
    </w:p>
    <w:p>
      <w:pPr>
        <w:pStyle w:val="BodyText"/>
      </w:pPr>
      <w:r>
        <w:t xml:space="preserve">The most important datapoint will be the relationship between</w:t>
      </w:r>
      <w:r>
        <w:t xml:space="preserve"> </w:t>
      </w:r>
      <w:r>
        <w:rPr>
          <w:b/>
          <w:bCs/>
        </w:rPr>
        <w:t xml:space="preserve">account growth, customer balances, and NII</w:t>
      </w:r>
      <w:r>
        <w:t xml:space="preserve">. If IBKR again shows that its expanding client base and balance sheet can offset rate headwinds while commissions and margins remain strong, the fundamental case remains intact—even after the stock’s outperformance heading into results.</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2026-07-21T00:51:10Z</dcterms:created>
  <dcterms:modified xsi:type="dcterms:W3CDTF">2026-07-21T00:51:10Z</dcterms:modified>
</cp:coreProperties>
</file>

<file path=docProps/custom.xml><?xml version="1.0" encoding="utf-8"?>
<Properties xmlns="http://schemas.openxmlformats.org/officeDocument/2006/custom-properties" xmlns:vt="http://schemas.openxmlformats.org/officeDocument/2006/docPropsVTypes"/>
</file>