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Interactive Brokers Group (IBKR)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Interactive Brokers Group, Inc.</w:t>
            </w:r>
          </w:p>
        </w:tc>
      </w:tr>
      <w:tr>
        <w:tc>
          <w:tcPr>
            <w:tcW w:type="dxa" w:w="4320"/>
          </w:tcPr>
          <w:p>
            <w:r>
              <w:rPr>
                <w:rFonts w:ascii="Calibri" w:hAnsi="Calibri"/>
                <w:b/>
                <w:sz w:val="22"/>
              </w:rPr>
              <w:t>Ticker</w:t>
            </w:r>
          </w:p>
        </w:tc>
        <w:tc>
          <w:tcPr>
            <w:tcW w:type="dxa" w:w="4320"/>
          </w:tcPr>
          <w:p>
            <w:r>
              <w:rPr>
                <w:rFonts w:ascii="Calibri" w:hAnsi="Calibri"/>
                <w:sz w:val="22"/>
              </w:rPr>
              <w:t>NASDAQ: IBKR</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After Market Close (Conference Call 4:30 PM ET)</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on commissions and accounts, but the bar has risen sharply with the stock up ~14% since Q1 earnings; </w:t>
      </w:r>
      <w:r>
        <w:rPr>
          <w:rFonts w:ascii="Calibri" w:hAnsi="Calibri"/>
          <w:color w:val="525866"/>
          <w:sz w:val="22"/>
        </w:rPr>
        <w:t>NII vs. consensus is the single biggest swing factor.</w:t>
      </w:r>
      <w:r>
        <w:rPr>
          <w:rFonts w:ascii="Calibri" w:hAnsi="Calibri"/>
          <w:color w:val="525866"/>
          <w:sz w:val="22"/>
        </w:rPr>
      </w:r>
    </w:p>
    <w:p>
      <w:r>
        <w:rPr>
          <w:rFonts w:ascii="Calibri" w:hAnsi="Calibri"/>
          <w:color w:val="525866"/>
          <w:sz w:val="22"/>
        </w:rPr>
        <w:t xml:space="preserve">Heading into Q2 2026, the consensus bar for IBKR is meaningfully higher than it was a quarter ago, with revenue estimates at $1.74B and operating EPS at $0.63 — both reflecting the market’s growing confidence in IBKR’s account growth flywheel and commission momentum. The macro backdrop for the quarter was constructive: equity and options volumes surged in April (Robinhood flagged its second-highest month in history), volatility elevated DARTs, and the pattern day trader rule elimination by the SEC opened a structural tailwind for retail engagement that management explicitly called an “opportunity.” </w:t>
      </w:r>
    </w:p>
    <w:p>
      <w:r>
        <w:rPr>
          <w:rFonts w:ascii="Calibri" w:hAnsi="Calibri"/>
          <w:color w:val="525866"/>
          <w:sz w:val="22"/>
        </w:rPr>
        <w:t xml:space="preserve">Management’s tone on the Q1 call was confident and directional — CEO Milan Galik stated he expects account growth to “continue the way we have seen over the past several years,” and Chairman Peterffy reiterated prediction markets will be “a huge thing.” Estimate revisions have drifted modestly higher since Q1, with commissions consensus up to $676M (vs. $614M actual in Q1) and NII at $1.01B, though NII remains the key uncertainty given the Fed held rates steady and IBKR’s own sensitivity guide implies ~$80M annual NII impact per 25bps move. </w:t>
      </w:r>
    </w:p>
    <w:p>
      <w:r>
        <w:rPr>
          <w:rFonts w:ascii="Calibri" w:hAnsi="Calibri"/>
          <w:color w:val="525866"/>
          <w:sz w:val="22"/>
        </w:rPr>
        <w:t>The stock has re-rated sharply — up +13.7% since Q1 earnings vs. +5.6% for SPY and +3.6% for KCE — pricing in continued execution and leaving limited room for disappointment. The wildcard is whether the strong April/May trading volumes (confirmed by peers) sustained through June, and whether margin loan and segregated cash balance growth can offset any NII headwinds from the rate environment, as it did in Q1.</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 but achievable bar — commissions at $676M (+10% QoQ) and total accounts at 5.13M are the bigger swing factors, while NII at $1.01B is the metric most likely to surprise in either direction given rate sensitivity.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 (Prior Year)</w:t>
            </w:r>
          </w:p>
        </w:tc>
        <w:tc>
          <w:tcPr>
            <w:tcW w:type="dxa" w:w="1440"/>
            <w:shd w:val="clear" w:color="auto" w:fill="3B4259"/>
          </w:tcPr>
          <w:p>
            <w:r>
              <w:rPr>
                <w:rFonts w:ascii="Calibri" w:hAnsi="Calibri"/>
                <w:b/>
                <w:color w:val="FFFFFF"/>
                <w:sz w:val="22"/>
              </w:rPr>
              <w:t>Q2 2026 Consensus Est.</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Guidance / Mgmt Commentary</w:t>
            </w:r>
          </w:p>
        </w:tc>
      </w:tr>
      <w:tr>
        <w:tc>
          <w:tcPr>
            <w:tcW w:type="dxa" w:w="1440"/>
          </w:tcPr>
          <w:p>
            <w:r>
              <w:rPr>
                <w:rFonts w:ascii="Calibri" w:hAnsi="Calibri"/>
                <w:sz w:val="22"/>
              </w:rPr>
              <w:t>Total Net Revenue ($M)</w:t>
            </w:r>
          </w:p>
        </w:tc>
        <w:tc>
          <w:tcPr>
            <w:tcW w:type="dxa" w:w="1440"/>
          </w:tcPr>
          <w:p>
            <w:r>
              <w:rPr>
                <w:rFonts w:ascii="Calibri" w:hAnsi="Calibri"/>
                <w:sz w:val="22"/>
              </w:rPr>
              <w:t>$1,669M</w:t>
            </w:r>
          </w:p>
        </w:tc>
        <w:tc>
          <w:tcPr>
            <w:tcW w:type="dxa" w:w="1440"/>
          </w:tcPr>
          <w:p>
            <w:r>
              <w:rPr>
                <w:rFonts w:ascii="Calibri" w:hAnsi="Calibri"/>
                <w:sz w:val="22"/>
              </w:rPr>
              <w:t>$1,480M</w:t>
            </w:r>
          </w:p>
        </w:tc>
        <w:tc>
          <w:tcPr>
            <w:tcW w:type="dxa" w:w="1440"/>
          </w:tcPr>
          <w:p>
            <w:r>
              <w:rPr>
                <w:rFonts w:ascii="Calibri" w:hAnsi="Calibri"/>
                <w:sz w:val="22"/>
              </w:rPr>
              <w:t>$1,738M</w:t>
            </w:r>
          </w:p>
        </w:tc>
        <w:tc>
          <w:tcPr>
            <w:tcW w:type="dxa" w:w="1440"/>
          </w:tcPr>
          <w:p>
            <w:r>
              <w:rPr>
                <w:rFonts w:ascii="Calibri" w:hAnsi="Calibri"/>
                <w:b/>
                <w:color w:val="30A46C"/>
                <w:sz w:val="22"/>
              </w:rPr>
              <w:t>+17.4%</w:t>
            </w:r>
          </w:p>
        </w:tc>
        <w:tc>
          <w:tcPr>
            <w:tcW w:type="dxa" w:w="1440"/>
          </w:tcPr>
          <w:p>
            <w:r>
              <w:rPr>
                <w:rFonts w:ascii="Calibri" w:hAnsi="Calibri"/>
                <w:sz w:val="22"/>
              </w:rPr>
              <w:t>No explicit guidance; expects continued growth trajectory</w:t>
            </w:r>
          </w:p>
        </w:tc>
      </w:tr>
      <w:tr>
        <w:tc>
          <w:tcPr>
            <w:tcW w:type="dxa" w:w="1440"/>
          </w:tcPr>
          <w:p>
            <w:r>
              <w:rPr>
                <w:rFonts w:ascii="Calibri" w:hAnsi="Calibri"/>
                <w:sz w:val="22"/>
              </w:rPr>
              <w:t>Operating EPS (Diluted) ($)</w:t>
            </w:r>
          </w:p>
        </w:tc>
        <w:tc>
          <w:tcPr>
            <w:tcW w:type="dxa" w:w="1440"/>
          </w:tcPr>
          <w:p>
            <w:r>
              <w:rPr>
                <w:rFonts w:ascii="Calibri" w:hAnsi="Calibri"/>
                <w:sz w:val="22"/>
              </w:rPr>
              <w:t>$0.60</w:t>
            </w:r>
          </w:p>
        </w:tc>
        <w:tc>
          <w:tcPr>
            <w:tcW w:type="dxa" w:w="1440"/>
          </w:tcPr>
          <w:p>
            <w:r>
              <w:rPr>
                <w:rFonts w:ascii="Calibri" w:hAnsi="Calibri"/>
                <w:sz w:val="22"/>
              </w:rPr>
              <w:t>$0.51</w:t>
            </w:r>
          </w:p>
        </w:tc>
        <w:tc>
          <w:tcPr>
            <w:tcW w:type="dxa" w:w="1440"/>
          </w:tcPr>
          <w:p>
            <w:r>
              <w:rPr>
                <w:rFonts w:ascii="Calibri" w:hAnsi="Calibri"/>
                <w:sz w:val="22"/>
              </w:rPr>
              <w:t>$0.63</w:t>
            </w:r>
          </w:p>
        </w:tc>
        <w:tc>
          <w:tcPr>
            <w:tcW w:type="dxa" w:w="1440"/>
          </w:tcPr>
          <w:p>
            <w:r>
              <w:rPr>
                <w:rFonts w:ascii="Calibri" w:hAnsi="Calibri"/>
                <w:b/>
                <w:color w:val="30A46C"/>
                <w:sz w:val="22"/>
              </w:rPr>
              <w:t>+23.5%</w:t>
            </w:r>
          </w:p>
        </w:tc>
        <w:tc>
          <w:tcPr>
            <w:tcW w:type="dxa" w:w="1440"/>
          </w:tcPr>
          <w:p>
            <w:r>
              <w:rPr>
                <w:rFonts w:ascii="Calibri" w:hAnsi="Calibri"/>
                <w:sz w:val="22"/>
              </w:rPr>
              <w:t>No explicit guidance</w:t>
            </w:r>
          </w:p>
        </w:tc>
      </w:tr>
      <w:tr>
        <w:tc>
          <w:tcPr>
            <w:tcW w:type="dxa" w:w="1440"/>
          </w:tcPr>
          <w:p>
            <w:r>
              <w:rPr>
                <w:rFonts w:ascii="Calibri" w:hAnsi="Calibri"/>
                <w:sz w:val="22"/>
              </w:rPr>
              <w:t>Total Customer Accounts (K)</w:t>
            </w:r>
          </w:p>
        </w:tc>
        <w:tc>
          <w:tcPr>
            <w:tcW w:type="dxa" w:w="1440"/>
          </w:tcPr>
          <w:p>
            <w:r>
              <w:rPr>
                <w:rFonts w:ascii="Calibri" w:hAnsi="Calibri"/>
                <w:sz w:val="22"/>
              </w:rPr>
              <w:t>4,754K</w:t>
            </w:r>
          </w:p>
        </w:tc>
        <w:tc>
          <w:tcPr>
            <w:tcW w:type="dxa" w:w="1440"/>
          </w:tcPr>
          <w:p>
            <w:r>
              <w:rPr>
                <w:rFonts w:ascii="Calibri" w:hAnsi="Calibri"/>
                <w:sz w:val="22"/>
              </w:rPr>
              <w:t>3,866K</w:t>
            </w:r>
          </w:p>
        </w:tc>
        <w:tc>
          <w:tcPr>
            <w:tcW w:type="dxa" w:w="1440"/>
          </w:tcPr>
          <w:p>
            <w:r>
              <w:rPr>
                <w:rFonts w:ascii="Calibri" w:hAnsi="Calibri"/>
                <w:sz w:val="22"/>
              </w:rPr>
              <w:t>5,126K</w:t>
            </w:r>
          </w:p>
        </w:tc>
        <w:tc>
          <w:tcPr>
            <w:tcW w:type="dxa" w:w="1440"/>
          </w:tcPr>
          <w:p>
            <w:r>
              <w:rPr>
                <w:rFonts w:ascii="Calibri" w:hAnsi="Calibri"/>
                <w:b/>
                <w:color w:val="30A46C"/>
                <w:sz w:val="22"/>
              </w:rPr>
              <w:t>+32.6%</w:t>
            </w:r>
          </w:p>
        </w:tc>
        <w:tc>
          <w:tcPr>
            <w:tcW w:type="dxa" w:w="1440"/>
          </w:tcPr>
          <w:p>
            <w:r>
              <w:rPr>
                <w:rFonts w:ascii="Calibri" w:hAnsi="Calibri"/>
                <w:sz w:val="22"/>
              </w:rPr>
              <w:t>CEO: “Will not let account growth go lower”; expects continuation of trend</w:t>
            </w:r>
          </w:p>
        </w:tc>
      </w:tr>
      <w:tr>
        <w:tc>
          <w:tcPr>
            <w:tcW w:type="dxa" w:w="1440"/>
          </w:tcPr>
          <w:p>
            <w:r>
              <w:rPr>
                <w:rFonts w:ascii="Calibri" w:hAnsi="Calibri"/>
                <w:sz w:val="22"/>
              </w:rPr>
              <w:t>Total Customer DARTs (K)</w:t>
            </w:r>
          </w:p>
        </w:tc>
        <w:tc>
          <w:tcPr>
            <w:tcW w:type="dxa" w:w="1440"/>
          </w:tcPr>
          <w:p>
            <w:r>
              <w:rPr>
                <w:rFonts w:ascii="Calibri" w:hAnsi="Calibri"/>
                <w:sz w:val="22"/>
              </w:rPr>
              <w:t>4,368K</w:t>
            </w:r>
          </w:p>
        </w:tc>
        <w:tc>
          <w:tcPr>
            <w:tcW w:type="dxa" w:w="1440"/>
          </w:tcPr>
          <w:p>
            <w:r>
              <w:rPr>
                <w:rFonts w:ascii="Calibri" w:hAnsi="Calibri"/>
                <w:sz w:val="22"/>
              </w:rPr>
              <w:t>3,552K</w:t>
            </w:r>
          </w:p>
        </w:tc>
        <w:tc>
          <w:tcPr>
            <w:tcW w:type="dxa" w:w="1440"/>
          </w:tcPr>
          <w:p>
            <w:r>
              <w:rPr>
                <w:rFonts w:ascii="Calibri" w:hAnsi="Calibri"/>
                <w:sz w:val="22"/>
              </w:rPr>
              <w:t>4,666K</w:t>
            </w:r>
          </w:p>
        </w:tc>
        <w:tc>
          <w:tcPr>
            <w:tcW w:type="dxa" w:w="1440"/>
          </w:tcPr>
          <w:p>
            <w:r>
              <w:rPr>
                <w:rFonts w:ascii="Calibri" w:hAnsi="Calibri"/>
                <w:b/>
                <w:color w:val="30A46C"/>
                <w:sz w:val="22"/>
              </w:rPr>
              <w:t>+31.4%</w:t>
            </w:r>
          </w:p>
        </w:tc>
        <w:tc>
          <w:tcPr>
            <w:tcW w:type="dxa" w:w="1440"/>
          </w:tcPr>
          <w:p>
            <w:r>
              <w:rPr>
                <w:rFonts w:ascii="Calibri" w:hAnsi="Calibri"/>
                <w:sz w:val="22"/>
              </w:rPr>
              <w:t>Expects DARTs to rise with volatility; PDT rule elimination a tailwind</w:t>
            </w:r>
          </w:p>
        </w:tc>
      </w:tr>
      <w:tr>
        <w:tc>
          <w:tcPr>
            <w:tcW w:type="dxa" w:w="1440"/>
          </w:tcPr>
          <w:p>
            <w:r>
              <w:rPr>
                <w:rFonts w:ascii="Calibri" w:hAnsi="Calibri"/>
                <w:sz w:val="22"/>
              </w:rPr>
              <w:t>Net Interest Income incl. Fin. Instruments ($M)</w:t>
            </w:r>
          </w:p>
        </w:tc>
        <w:tc>
          <w:tcPr>
            <w:tcW w:type="dxa" w:w="1440"/>
          </w:tcPr>
          <w:p>
            <w:r>
              <w:rPr>
                <w:rFonts w:ascii="Calibri" w:hAnsi="Calibri"/>
                <w:sz w:val="22"/>
              </w:rPr>
              <w:t>$953M</w:t>
            </w:r>
          </w:p>
        </w:tc>
        <w:tc>
          <w:tcPr>
            <w:tcW w:type="dxa" w:w="1440"/>
          </w:tcPr>
          <w:p>
            <w:r>
              <w:rPr>
                <w:rFonts w:ascii="Calibri" w:hAnsi="Calibri"/>
                <w:sz w:val="22"/>
              </w:rPr>
              <w:t>$861M</w:t>
            </w:r>
          </w:p>
        </w:tc>
        <w:tc>
          <w:tcPr>
            <w:tcW w:type="dxa" w:w="1440"/>
          </w:tcPr>
          <w:p>
            <w:r>
              <w:rPr>
                <w:rFonts w:ascii="Calibri" w:hAnsi="Calibri"/>
                <w:sz w:val="22"/>
              </w:rPr>
              <w:t>$1,014M</w:t>
            </w:r>
          </w:p>
        </w:tc>
        <w:tc>
          <w:tcPr>
            <w:tcW w:type="dxa" w:w="1440"/>
          </w:tcPr>
          <w:p>
            <w:r>
              <w:rPr>
                <w:rFonts w:ascii="Calibri" w:hAnsi="Calibri"/>
                <w:b/>
                <w:color w:val="30A46C"/>
                <w:sz w:val="22"/>
              </w:rPr>
              <w:t>+17.8%</w:t>
            </w:r>
          </w:p>
        </w:tc>
        <w:tc>
          <w:tcPr>
            <w:tcW w:type="dxa" w:w="1440"/>
          </w:tcPr>
          <w:p>
            <w:r>
              <w:rPr>
                <w:rFonts w:ascii="Calibri" w:hAnsi="Calibri"/>
                <w:sz w:val="22"/>
              </w:rPr>
              <w:t>25bps rate cut = ~$80M annual NII impact; balance sheet growth offsets</w:t>
            </w:r>
          </w:p>
        </w:tc>
      </w:tr>
      <w:tr>
        <w:tc>
          <w:tcPr>
            <w:tcW w:type="dxa" w:w="1440"/>
          </w:tcPr>
          <w:p>
            <w:r>
              <w:rPr>
                <w:rFonts w:ascii="Calibri" w:hAnsi="Calibri"/>
                <w:sz w:val="22"/>
              </w:rPr>
              <w:t>Commissions ($M)</w:t>
            </w:r>
          </w:p>
        </w:tc>
        <w:tc>
          <w:tcPr>
            <w:tcW w:type="dxa" w:w="1440"/>
          </w:tcPr>
          <w:p>
            <w:r>
              <w:rPr>
                <w:rFonts w:ascii="Calibri" w:hAnsi="Calibri"/>
                <w:sz w:val="22"/>
              </w:rPr>
              <w:t>$613M</w:t>
            </w:r>
          </w:p>
        </w:tc>
        <w:tc>
          <w:tcPr>
            <w:tcW w:type="dxa" w:w="1440"/>
          </w:tcPr>
          <w:p>
            <w:r>
              <w:rPr>
                <w:rFonts w:ascii="Calibri" w:hAnsi="Calibri"/>
                <w:sz w:val="22"/>
              </w:rPr>
              <w:t>$516M</w:t>
            </w:r>
          </w:p>
        </w:tc>
        <w:tc>
          <w:tcPr>
            <w:tcW w:type="dxa" w:w="1440"/>
          </w:tcPr>
          <w:p>
            <w:r>
              <w:rPr>
                <w:rFonts w:ascii="Calibri" w:hAnsi="Calibri"/>
                <w:sz w:val="22"/>
              </w:rPr>
              <w:t>$676M</w:t>
            </w:r>
          </w:p>
        </w:tc>
        <w:tc>
          <w:tcPr>
            <w:tcW w:type="dxa" w:w="1440"/>
          </w:tcPr>
          <w:p>
            <w:r>
              <w:rPr>
                <w:rFonts w:ascii="Calibri" w:hAnsi="Calibri"/>
                <w:b/>
                <w:color w:val="30A46C"/>
                <w:sz w:val="22"/>
              </w:rPr>
              <w:t>+31.0%</w:t>
            </w:r>
          </w:p>
        </w:tc>
        <w:tc>
          <w:tcPr>
            <w:tcW w:type="dxa" w:w="1440"/>
          </w:tcPr>
          <w:p>
            <w:r>
              <w:rPr>
                <w:rFonts w:ascii="Calibri" w:hAnsi="Calibri"/>
                <w:sz w:val="22"/>
              </w:rPr>
              <w:t>Record commissions in Q1; PDT rule elimination expected to boost frequency</w:t>
            </w:r>
          </w:p>
        </w:tc>
      </w:tr>
      <w:tr>
        <w:tc>
          <w:tcPr>
            <w:tcW w:type="dxa" w:w="1440"/>
          </w:tcPr>
          <w:p>
            <w:r>
              <w:rPr>
                <w:rFonts w:ascii="Calibri" w:hAnsi="Calibri"/>
                <w:sz w:val="22"/>
              </w:rPr>
              <w:t>Operating Pre-Tax Income ($M)</w:t>
            </w:r>
          </w:p>
        </w:tc>
        <w:tc>
          <w:tcPr>
            <w:tcW w:type="dxa" w:w="1440"/>
          </w:tcPr>
          <w:p>
            <w:r>
              <w:rPr>
                <w:rFonts w:ascii="Calibri" w:hAnsi="Calibri"/>
                <w:sz w:val="22"/>
              </w:rPr>
              <w:t>$1,299M</w:t>
            </w:r>
          </w:p>
        </w:tc>
        <w:tc>
          <w:tcPr>
            <w:tcW w:type="dxa" w:w="1440"/>
          </w:tcPr>
          <w:p>
            <w:r>
              <w:rPr>
                <w:rFonts w:ascii="Calibri" w:hAnsi="Calibri"/>
                <w:sz w:val="22"/>
              </w:rPr>
              <w:t>$1,104M</w:t>
            </w:r>
          </w:p>
        </w:tc>
        <w:tc>
          <w:tcPr>
            <w:tcW w:type="dxa" w:w="1440"/>
          </w:tcPr>
          <w:p>
            <w:r>
              <w:rPr>
                <w:rFonts w:ascii="Calibri" w:hAnsi="Calibri"/>
                <w:sz w:val="22"/>
              </w:rPr>
              <w:t>$1,357M</w:t>
            </w:r>
          </w:p>
        </w:tc>
        <w:tc>
          <w:tcPr>
            <w:tcW w:type="dxa" w:w="1440"/>
          </w:tcPr>
          <w:p>
            <w:r>
              <w:rPr>
                <w:rFonts w:ascii="Calibri" w:hAnsi="Calibri"/>
                <w:b/>
                <w:color w:val="30A46C"/>
                <w:sz w:val="22"/>
              </w:rPr>
              <w:t>+22.9%</w:t>
            </w:r>
          </w:p>
        </w:tc>
        <w:tc>
          <w:tcPr>
            <w:tcW w:type="dxa" w:w="1440"/>
          </w:tcPr>
          <w:p>
            <w:r>
              <w:rPr>
                <w:rFonts w:ascii="Calibri" w:hAnsi="Calibri"/>
                <w:sz w:val="22"/>
              </w:rPr>
              <w:t>Six consecutive quarters &gt;70% pre-tax margin; expects continued efficiency</w:t>
            </w:r>
          </w:p>
        </w:tc>
      </w:tr>
      <w:tr>
        <w:tc>
          <w:tcPr>
            <w:tcW w:type="dxa" w:w="1440"/>
          </w:tcPr>
          <w:p>
            <w:r>
              <w:rPr>
                <w:rFonts w:ascii="Calibri" w:hAnsi="Calibri"/>
                <w:sz w:val="22"/>
              </w:rPr>
              <w:t>Total Non-Interest Expenses – Operating ($M)</w:t>
            </w:r>
          </w:p>
        </w:tc>
        <w:tc>
          <w:tcPr>
            <w:tcW w:type="dxa" w:w="1440"/>
          </w:tcPr>
          <w:p>
            <w:r>
              <w:rPr>
                <w:rFonts w:ascii="Calibri" w:hAnsi="Calibri"/>
                <w:sz w:val="22"/>
              </w:rPr>
              <w:t>$381M</w:t>
            </w:r>
          </w:p>
        </w:tc>
        <w:tc>
          <w:tcPr>
            <w:tcW w:type="dxa" w:w="1440"/>
          </w:tcPr>
          <w:p>
            <w:r>
              <w:rPr>
                <w:rFonts w:ascii="Calibri" w:hAnsi="Calibri"/>
                <w:sz w:val="22"/>
              </w:rPr>
              <w:t>$376M</w:t>
            </w:r>
          </w:p>
        </w:tc>
        <w:tc>
          <w:tcPr>
            <w:tcW w:type="dxa" w:w="1440"/>
          </w:tcPr>
          <w:p>
            <w:r>
              <w:rPr>
                <w:rFonts w:ascii="Calibri" w:hAnsi="Calibri"/>
                <w:sz w:val="22"/>
              </w:rPr>
              <w:t>$409M</w:t>
            </w:r>
          </w:p>
        </w:tc>
        <w:tc>
          <w:tcPr>
            <w:tcW w:type="dxa" w:w="1440"/>
          </w:tcPr>
          <w:p>
            <w:r>
              <w:rPr>
                <w:rFonts w:ascii="Calibri" w:hAnsi="Calibri"/>
                <w:sz w:val="22"/>
              </w:rPr>
              <w:t>+8.8%</w:t>
            </w:r>
          </w:p>
        </w:tc>
        <w:tc>
          <w:tcPr>
            <w:tcW w:type="dxa" w:w="1440"/>
          </w:tcPr>
          <w:p>
            <w:r>
              <w:rPr>
                <w:rFonts w:ascii="Calibri" w:hAnsi="Calibri"/>
                <w:sz w:val="22"/>
              </w:rPr>
              <w:t>Marketing spend growing slowly; strict ROI discipline on incremental spend</w:t>
            </w:r>
          </w:p>
        </w:tc>
      </w:tr>
    </w:tbl>
    <w:p>
      <w:r>
        <w:rPr>
          <w:rFonts w:ascii="Calibri" w:hAnsi="Calibri"/>
          <w:i/>
          <w:color w:val="525866"/>
          <w:sz w:val="22"/>
        </w:rPr>
        <w:t>Source: Visible Alpha Consensus and Actuals Data. All consensus figures as of July 20, 2026.</w:t>
      </w:r>
    </w:p>
    <w:p>
      <w:pPr>
        <w:pStyle w:val="Heading3"/>
      </w:pPr>
      <w:r>
        <w:rPr>
          <w:rFonts w:ascii="Calibri" w:hAnsi="Calibri"/>
          <w:b/>
          <w:color w:val="3B4259"/>
          <w:sz w:val="24"/>
        </w:rPr>
        <w:t>Table 2 — Beat / Miss History (Last 8 Quarters)</w:t>
      </w:r>
    </w:p>
    <w:p>
      <w:r>
        <w:rPr>
          <w:rFonts w:ascii="Calibri" w:hAnsi="Calibri"/>
          <w:b/>
          <w:color w:val="525866"/>
          <w:sz w:val="22"/>
        </w:rPr>
        <w:t>Top KPI #1: Total Net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$1,230</w:t>
            </w:r>
          </w:p>
        </w:tc>
        <w:tc>
          <w:tcPr>
            <w:tcW w:type="dxa" w:w="1728"/>
          </w:tcPr>
          <w:p>
            <w:r>
              <w:rPr>
                <w:rFonts w:ascii="Calibri" w:hAnsi="Calibri"/>
                <w:sz w:val="22"/>
              </w:rPr>
              <w:t>$1,267</w:t>
            </w:r>
          </w:p>
        </w:tc>
        <w:tc>
          <w:tcPr>
            <w:tcW w:type="dxa" w:w="1728"/>
          </w:tcPr>
          <w:p>
            <w:r>
              <w:rPr>
                <w:rFonts w:ascii="Calibri" w:hAnsi="Calibri"/>
                <w:b/>
                <w:color w:val="E5484D"/>
                <w:sz w:val="22"/>
              </w:rPr>
              <w:t>-2.9%</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$1,365</w:t>
            </w:r>
          </w:p>
        </w:tc>
        <w:tc>
          <w:tcPr>
            <w:tcW w:type="dxa" w:w="1728"/>
          </w:tcPr>
          <w:p>
            <w:r>
              <w:rPr>
                <w:rFonts w:ascii="Calibri" w:hAnsi="Calibri"/>
                <w:sz w:val="22"/>
              </w:rPr>
              <w:t>$1,327</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$1,387</w:t>
            </w:r>
          </w:p>
        </w:tc>
        <w:tc>
          <w:tcPr>
            <w:tcW w:type="dxa" w:w="1728"/>
          </w:tcPr>
          <w:p>
            <w:r>
              <w:rPr>
                <w:rFonts w:ascii="Calibri" w:hAnsi="Calibri"/>
                <w:sz w:val="22"/>
              </w:rPr>
              <w:t>$1,365</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$1,427</w:t>
            </w:r>
          </w:p>
        </w:tc>
        <w:tc>
          <w:tcPr>
            <w:tcW w:type="dxa" w:w="1728"/>
          </w:tcPr>
          <w:p>
            <w:r>
              <w:rPr>
                <w:rFonts w:ascii="Calibri" w:hAnsi="Calibri"/>
                <w:sz w:val="22"/>
              </w:rPr>
              <w:t>$1,396</w:t>
            </w:r>
          </w:p>
        </w:tc>
        <w:tc>
          <w:tcPr>
            <w:tcW w:type="dxa" w:w="1728"/>
          </w:tcPr>
          <w:p>
            <w:r>
              <w:rPr>
                <w:rFonts w:ascii="Calibri" w:hAnsi="Calibri"/>
                <w:b/>
                <w:color w:val="30A46C"/>
                <w:sz w:val="22"/>
              </w:rPr>
              <w:t>+2.2%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$1,480</w:t>
            </w:r>
          </w:p>
        </w:tc>
        <w:tc>
          <w:tcPr>
            <w:tcW w:type="dxa" w:w="1728"/>
          </w:tcPr>
          <w:p>
            <w:r>
              <w:rPr>
                <w:rFonts w:ascii="Calibri" w:hAnsi="Calibri"/>
                <w:sz w:val="22"/>
              </w:rPr>
              <w:t>$1,392</w:t>
            </w:r>
          </w:p>
        </w:tc>
        <w:tc>
          <w:tcPr>
            <w:tcW w:type="dxa" w:w="1728"/>
          </w:tcPr>
          <w:p>
            <w:r>
              <w:rPr>
                <w:rFonts w:ascii="Calibri" w:hAnsi="Calibri"/>
                <w:b/>
                <w:color w:val="30A46C"/>
                <w:sz w:val="22"/>
              </w:rPr>
              <w:t>+6.3%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$1,655</w:t>
            </w:r>
          </w:p>
        </w:tc>
        <w:tc>
          <w:tcPr>
            <w:tcW w:type="dxa" w:w="1728"/>
          </w:tcPr>
          <w:p>
            <w:r>
              <w:rPr>
                <w:rFonts w:ascii="Calibri" w:hAnsi="Calibri"/>
                <w:sz w:val="22"/>
              </w:rPr>
              <w:t>$1,525</w:t>
            </w:r>
          </w:p>
        </w:tc>
        <w:tc>
          <w:tcPr>
            <w:tcW w:type="dxa" w:w="1728"/>
          </w:tcPr>
          <w:p>
            <w:r>
              <w:rPr>
                <w:rFonts w:ascii="Calibri" w:hAnsi="Calibri"/>
                <w:b/>
                <w:color w:val="30A46C"/>
                <w:sz w:val="22"/>
              </w:rPr>
              <w:t>+8.5%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$1,643</w:t>
            </w:r>
          </w:p>
        </w:tc>
        <w:tc>
          <w:tcPr>
            <w:tcW w:type="dxa" w:w="1728"/>
          </w:tcPr>
          <w:p>
            <w:r>
              <w:rPr>
                <w:rFonts w:ascii="Calibri" w:hAnsi="Calibri"/>
                <w:sz w:val="22"/>
              </w:rPr>
              <w:t>$1,617</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$1,669</w:t>
            </w:r>
          </w:p>
        </w:tc>
        <w:tc>
          <w:tcPr>
            <w:tcW w:type="dxa" w:w="1728"/>
          </w:tcPr>
          <w:p>
            <w:r>
              <w:rPr>
                <w:rFonts w:ascii="Calibri" w:hAnsi="Calibri"/>
                <w:sz w:val="22"/>
              </w:rPr>
              <w:t>$1,665</w:t>
            </w:r>
          </w:p>
        </w:tc>
        <w:tc>
          <w:tcPr>
            <w:tcW w:type="dxa" w:w="1728"/>
          </w:tcPr>
          <w:p>
            <w:r>
              <w:rPr>
                <w:rFonts w:ascii="Calibri" w:hAnsi="Calibri"/>
                <w:sz w:val="22"/>
              </w:rPr>
              <w:t>+0.2%</w:t>
            </w:r>
          </w:p>
        </w:tc>
        <w:tc>
          <w:tcPr>
            <w:tcW w:type="dxa" w:w="1728"/>
          </w:tcPr>
          <w:p>
            <w:r>
              <w:rPr>
                <w:rFonts w:ascii="Calibri" w:hAnsi="Calibri"/>
                <w:sz w:val="22"/>
              </w:rPr>
              <w:t>In Line / Slight Miss</w:t>
            </w:r>
          </w:p>
        </w:tc>
      </w:tr>
    </w:tbl>
    <w:p>
      <w:r>
        <w:rPr>
          <w:rFonts w:ascii="Calibri" w:hAnsi="Calibri"/>
          <w:b/>
          <w:color w:val="525866"/>
          <w:sz w:val="22"/>
        </w:rPr>
        <w:t xml:space="preserve">Pattern: </w:t>
      </w:r>
      <w:r>
        <w:rPr>
          <w:rFonts w:ascii="Calibri" w:hAnsi="Calibri"/>
          <w:color w:val="525866"/>
          <w:sz w:val="22"/>
        </w:rPr>
        <w:t>IBKR has beaten or met revenue consensus in 7 of the last 8 quarters, with the one miss (Q2 2024) followed by a strong recovery; the Q1 2026 near-miss came despite record commissions, suggesting NII was the drag — the same dynamic to watch in Q2.</w:t>
      </w:r>
    </w:p>
    <w:p>
      <w:r>
        <w:rPr>
          <w:rFonts w:ascii="Calibri" w:hAnsi="Calibri"/>
          <w:b/>
          <w:color w:val="525866"/>
          <w:sz w:val="22"/>
        </w:rPr>
        <w:t>Top KPI #2: Operating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$0.44</w:t>
            </w:r>
          </w:p>
        </w:tc>
        <w:tc>
          <w:tcPr>
            <w:tcW w:type="dxa" w:w="1728"/>
          </w:tcPr>
          <w:p>
            <w:r>
              <w:rPr>
                <w:rFonts w:ascii="Calibri" w:hAnsi="Calibri"/>
                <w:sz w:val="22"/>
              </w:rPr>
              <w:t>$0.44</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$0.40</w:t>
            </w:r>
          </w:p>
        </w:tc>
        <w:tc>
          <w:tcPr>
            <w:tcW w:type="dxa" w:w="1728"/>
          </w:tcPr>
          <w:p>
            <w:r>
              <w:rPr>
                <w:rFonts w:ascii="Calibri" w:hAnsi="Calibri"/>
                <w:sz w:val="22"/>
              </w:rPr>
              <w:t>$0.45</w:t>
            </w:r>
          </w:p>
        </w:tc>
        <w:tc>
          <w:tcPr>
            <w:tcW w:type="dxa" w:w="1728"/>
          </w:tcPr>
          <w:p>
            <w:r>
              <w:rPr>
                <w:rFonts w:ascii="Calibri" w:hAnsi="Calibri"/>
                <w:b/>
                <w:color w:val="E5484D"/>
                <w:sz w:val="22"/>
              </w:rPr>
              <w:t>-10.5%</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$0.51</w:t>
            </w:r>
          </w:p>
        </w:tc>
        <w:tc>
          <w:tcPr>
            <w:tcW w:type="dxa" w:w="1728"/>
          </w:tcPr>
          <w:p>
            <w:r>
              <w:rPr>
                <w:rFonts w:ascii="Calibri" w:hAnsi="Calibri"/>
                <w:sz w:val="22"/>
              </w:rPr>
              <w:t>$0.46</w:t>
            </w:r>
          </w:p>
        </w:tc>
        <w:tc>
          <w:tcPr>
            <w:tcW w:type="dxa" w:w="1728"/>
          </w:tcPr>
          <w:p>
            <w:r>
              <w:rPr>
                <w:rFonts w:ascii="Calibri" w:hAnsi="Calibri"/>
                <w:b/>
                <w:color w:val="30A46C"/>
                <w:sz w:val="22"/>
              </w:rPr>
              <w:t>+10.0%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$0.47</w:t>
            </w:r>
          </w:p>
        </w:tc>
        <w:tc>
          <w:tcPr>
            <w:tcW w:type="dxa" w:w="1728"/>
          </w:tcPr>
          <w:p>
            <w:r>
              <w:rPr>
                <w:rFonts w:ascii="Calibri" w:hAnsi="Calibri"/>
                <w:sz w:val="22"/>
              </w:rPr>
              <w:t>$0.48</w:t>
            </w:r>
          </w:p>
        </w:tc>
        <w:tc>
          <w:tcPr>
            <w:tcW w:type="dxa" w:w="1728"/>
          </w:tcPr>
          <w:p>
            <w:r>
              <w:rPr>
                <w:rFonts w:ascii="Calibri" w:hAnsi="Calibri"/>
                <w:sz w:val="22"/>
              </w:rPr>
              <w:t>-2.1%</w:t>
            </w:r>
          </w:p>
        </w:tc>
        <w:tc>
          <w:tcPr>
            <w:tcW w:type="dxa" w:w="1728"/>
          </w:tcPr>
          <w:p>
            <w:r>
              <w:rPr>
                <w:rFonts w:ascii="Calibri" w:hAnsi="Calibri"/>
                <w:sz w:val="22"/>
              </w:rPr>
              <w:t>In Line / Slight Miss</w:t>
            </w:r>
          </w:p>
        </w:tc>
      </w:tr>
      <w:tr>
        <w:tc>
          <w:tcPr>
            <w:tcW w:type="dxa" w:w="1728"/>
          </w:tcPr>
          <w:p>
            <w:r>
              <w:rPr>
                <w:rFonts w:ascii="Calibri" w:hAnsi="Calibri"/>
                <w:sz w:val="22"/>
              </w:rPr>
              <w:t>Q2 2025</w:t>
            </w:r>
          </w:p>
        </w:tc>
        <w:tc>
          <w:tcPr>
            <w:tcW w:type="dxa" w:w="1728"/>
          </w:tcPr>
          <w:p>
            <w:r>
              <w:rPr>
                <w:rFonts w:ascii="Calibri" w:hAnsi="Calibri"/>
                <w:sz w:val="22"/>
              </w:rPr>
              <w:t>$0.51</w:t>
            </w:r>
          </w:p>
        </w:tc>
        <w:tc>
          <w:tcPr>
            <w:tcW w:type="dxa" w:w="1728"/>
          </w:tcPr>
          <w:p>
            <w:r>
              <w:rPr>
                <w:rFonts w:ascii="Calibri" w:hAnsi="Calibri"/>
                <w:sz w:val="22"/>
              </w:rPr>
              <w:t>$0.47</w:t>
            </w:r>
          </w:p>
        </w:tc>
        <w:tc>
          <w:tcPr>
            <w:tcW w:type="dxa" w:w="1728"/>
          </w:tcPr>
          <w:p>
            <w:r>
              <w:rPr>
                <w:rFonts w:ascii="Calibri" w:hAnsi="Calibri"/>
                <w:b/>
                <w:color w:val="30A46C"/>
                <w:sz w:val="22"/>
              </w:rPr>
              <w:t>+8.5%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$0.57</w:t>
            </w:r>
          </w:p>
        </w:tc>
        <w:tc>
          <w:tcPr>
            <w:tcW w:type="dxa" w:w="1728"/>
          </w:tcPr>
          <w:p>
            <w:r>
              <w:rPr>
                <w:rFonts w:ascii="Calibri" w:hAnsi="Calibri"/>
                <w:sz w:val="22"/>
              </w:rPr>
              <w:t>$0.54</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$0.65</w:t>
            </w:r>
          </w:p>
        </w:tc>
        <w:tc>
          <w:tcPr>
            <w:tcW w:type="dxa" w:w="1728"/>
          </w:tcPr>
          <w:p>
            <w:r>
              <w:rPr>
                <w:rFonts w:ascii="Calibri" w:hAnsi="Calibri"/>
                <w:sz w:val="22"/>
              </w:rPr>
              <w:t>$0.58</w:t>
            </w:r>
          </w:p>
        </w:tc>
        <w:tc>
          <w:tcPr>
            <w:tcW w:type="dxa" w:w="1728"/>
          </w:tcPr>
          <w:p>
            <w:r>
              <w:rPr>
                <w:rFonts w:ascii="Calibri" w:hAnsi="Calibri"/>
                <w:b/>
                <w:color w:val="30A46C"/>
                <w:sz w:val="22"/>
              </w:rPr>
              <w:t>+11.2%</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$0.60</w:t>
            </w:r>
          </w:p>
        </w:tc>
        <w:tc>
          <w:tcPr>
            <w:tcW w:type="dxa" w:w="1728"/>
          </w:tcPr>
          <w:p>
            <w:r>
              <w:rPr>
                <w:rFonts w:ascii="Calibri" w:hAnsi="Calibri"/>
                <w:sz w:val="22"/>
              </w:rPr>
              <w:t>$0.60</w:t>
            </w:r>
          </w:p>
        </w:tc>
        <w:tc>
          <w:tcPr>
            <w:tcW w:type="dxa" w:w="1728"/>
          </w:tcPr>
          <w:p>
            <w:r>
              <w:rPr>
                <w:rFonts w:ascii="Calibri" w:hAnsi="Calibri"/>
                <w:sz w:val="22"/>
              </w:rPr>
              <w:t>0.0%</w:t>
            </w:r>
          </w:p>
        </w:tc>
        <w:tc>
          <w:tcPr>
            <w:tcW w:type="dxa" w:w="1728"/>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Operating EPS has beaten or met consensus in 6 of the last 8 quarters, with beats accelerating in magnitude through 2025 (Q4 2025: +11.2%); the two misses were driven by NII shortfalls, reinforcing that NII execution is the key EPS swing factor.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from cautious to highly confident on account growth and prediction markets; no explicit numerical guidance was provided for Q2, but qualitative signals are constructive across all major KPIs.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Q1 2026 Earnings Call Baseline (Apr 21, 2026)</w:t>
            </w:r>
          </w:p>
        </w:tc>
        <w:tc>
          <w:tcPr>
            <w:tcW w:type="dxa" w:w="2880"/>
            <w:shd w:val="clear" w:color="auto" w:fill="3B4259"/>
          </w:tcPr>
          <w:p>
            <w:r>
              <w:rPr>
                <w:rFonts w:ascii="Calibri" w:hAnsi="Calibri"/>
                <w:b/>
                <w:color w:val="FFFFFF"/>
                <w:sz w:val="22"/>
              </w:rPr>
              <w:t>Direction</w:t>
            </w:r>
          </w:p>
        </w:tc>
      </w:tr>
      <w:tr>
        <w:tc>
          <w:tcPr>
            <w:tcW w:type="dxa" w:w="2880"/>
          </w:tcPr>
          <w:p>
            <w:r>
              <w:rPr>
                <w:rFonts w:ascii="Calibri" w:hAnsi="Calibri"/>
                <w:sz w:val="22"/>
              </w:rPr>
              <w:t>Account Growth</w:t>
            </w:r>
          </w:p>
        </w:tc>
        <w:tc>
          <w:tcPr>
            <w:tcW w:type="dxa" w:w="2880"/>
          </w:tcPr>
          <w:p>
            <w:r>
              <w:rPr>
                <w:rFonts w:ascii="Calibri" w:hAnsi="Calibri"/>
                <w:sz w:val="22"/>
              </w:rPr>
              <w:t>CEO Galik: “I don’t think we need to expect anything different from what we have seen in the past” and “I would expect things to continue the way we have seen over the past several years.” Chairman Peterffy: “Will not let our account growth go lower.”</w:t>
            </w:r>
          </w:p>
        </w:tc>
        <w:tc>
          <w:tcPr>
            <w:tcW w:type="dxa" w:w="2880"/>
          </w:tcPr>
          <w:p>
            <w:r>
              <w:rPr>
                <w:rFonts w:ascii="Calibri" w:hAnsi="Calibri"/>
                <w:b/>
                <w:color w:val="30A46C"/>
                <w:sz w:val="22"/>
              </w:rPr>
              <w:t>↑ Highly Confident</w:t>
            </w:r>
          </w:p>
        </w:tc>
      </w:tr>
      <w:tr>
        <w:tc>
          <w:tcPr>
            <w:tcW w:type="dxa" w:w="2880"/>
          </w:tcPr>
          <w:p>
            <w:r>
              <w:rPr>
                <w:rFonts w:ascii="Calibri" w:hAnsi="Calibri"/>
                <w:sz w:val="22"/>
              </w:rPr>
              <w:t>DARTs / Trading Activity</w:t>
            </w:r>
          </w:p>
        </w:tc>
        <w:tc>
          <w:tcPr>
            <w:tcW w:type="dxa" w:w="2880"/>
          </w:tcPr>
          <w:p>
            <w:r>
              <w:rPr>
                <w:rFonts w:ascii="Calibri" w:hAnsi="Calibri"/>
                <w:sz w:val="22"/>
              </w:rPr>
              <w:t>Galik: Volatility increases DARTs even as it may slow new account openings; PDT rule elimination “will broaden retail access, increase trading frequency and engagement.” Expects DARTs to remain elevated.</w:t>
            </w:r>
          </w:p>
        </w:tc>
        <w:tc>
          <w:tcPr>
            <w:tcW w:type="dxa" w:w="2880"/>
          </w:tcPr>
          <w:p>
            <w:r>
              <w:rPr>
                <w:rFonts w:ascii="Calibri" w:hAnsi="Calibri"/>
                <w:b/>
                <w:color w:val="30A46C"/>
                <w:sz w:val="22"/>
              </w:rPr>
              <w:t>↑ Constructive</w:t>
            </w:r>
          </w:p>
        </w:tc>
      </w:tr>
      <w:tr>
        <w:tc>
          <w:tcPr>
            <w:tcW w:type="dxa" w:w="2880"/>
          </w:tcPr>
          <w:p>
            <w:r>
              <w:rPr>
                <w:rFonts w:ascii="Calibri" w:hAnsi="Calibri"/>
                <w:sz w:val="22"/>
              </w:rPr>
              <w:t>Net Interest Income (NII)</w:t>
            </w:r>
          </w:p>
        </w:tc>
        <w:tc>
          <w:tcPr>
            <w:tcW w:type="dxa" w:w="2880"/>
          </w:tcPr>
          <w:p>
            <w:r>
              <w:rPr>
                <w:rFonts w:ascii="Calibri" w:hAnsi="Calibri"/>
                <w:sz w:val="22"/>
              </w:rPr>
              <w:t>25bps rate cut = ~$80M annual NII reduction; non-USD balances (~1/3 of total) add $35M sensitivity per 25bps. Balance sheet growth offsets rate headwinds. CFO Brody: upside/downside scenarios “roughly symmetrical.”</w:t>
            </w:r>
          </w:p>
        </w:tc>
        <w:tc>
          <w:tcPr>
            <w:tcW w:type="dxa" w:w="2880"/>
          </w:tcPr>
          <w:p>
            <w:r>
              <w:rPr>
                <w:rFonts w:ascii="Calibri" w:hAnsi="Calibri"/>
                <w:sz w:val="22"/>
              </w:rPr>
              <w:t>→ Neutral / Rate-Dependent</w:t>
            </w:r>
          </w:p>
        </w:tc>
      </w:tr>
      <w:tr>
        <w:tc>
          <w:tcPr>
            <w:tcW w:type="dxa" w:w="2880"/>
          </w:tcPr>
          <w:p>
            <w:r>
              <w:rPr>
                <w:rFonts w:ascii="Calibri" w:hAnsi="Calibri"/>
                <w:sz w:val="22"/>
              </w:rPr>
              <w:t>Prediction Markets (ForecastEx)</w:t>
            </w:r>
          </w:p>
        </w:tc>
        <w:tc>
          <w:tcPr>
            <w:tcW w:type="dxa" w:w="2880"/>
          </w:tcPr>
          <w:p>
            <w:r>
              <w:rPr>
                <w:rFonts w:ascii="Calibri" w:hAnsi="Calibri"/>
                <w:sz w:val="22"/>
              </w:rPr>
              <w:t>Peterffy: “This is going to be a huge thing” and “it’s going to be a lot of prediction trading.” Institutions that “swore they would never enter prediction markets are now actively inquiring.” Election Board tool launched for 2026 midterms.</w:t>
            </w:r>
          </w:p>
        </w:tc>
        <w:tc>
          <w:tcPr>
            <w:tcW w:type="dxa" w:w="2880"/>
          </w:tcPr>
          <w:p>
            <w:r>
              <w:rPr>
                <w:rFonts w:ascii="Calibri" w:hAnsi="Calibri"/>
                <w:b/>
                <w:color w:val="30A46C"/>
                <w:sz w:val="22"/>
              </w:rPr>
              <w:t>↑ Strategic Priority</w:t>
            </w:r>
          </w:p>
        </w:tc>
      </w:tr>
      <w:tr>
        <w:tc>
          <w:tcPr>
            <w:tcW w:type="dxa" w:w="2880"/>
          </w:tcPr>
          <w:p>
            <w:r>
              <w:rPr>
                <w:rFonts w:ascii="Calibri" w:hAnsi="Calibri"/>
                <w:sz w:val="22"/>
              </w:rPr>
              <w:t>Crypto Expansion</w:t>
            </w:r>
          </w:p>
        </w:tc>
        <w:tc>
          <w:tcPr>
            <w:tcW w:type="dxa" w:w="2880"/>
          </w:tcPr>
          <w:p>
            <w:r>
              <w:rPr>
                <w:rFonts w:ascii="Calibri" w:hAnsi="Calibri"/>
                <w:sz w:val="22"/>
              </w:rPr>
              <w:t>EEA soft launch underway; crypto transfer-in capabilities live; Coinbase Derivatives Exchange access added (nano-sized and perpetual futures). Staking via Zero Hash partner still in development.</w:t>
            </w:r>
          </w:p>
        </w:tc>
        <w:tc>
          <w:tcPr>
            <w:tcW w:type="dxa" w:w="2880"/>
          </w:tcPr>
          <w:p>
            <w:r>
              <w:rPr>
                <w:rFonts w:ascii="Calibri" w:hAnsi="Calibri"/>
                <w:b/>
                <w:color w:val="30A46C"/>
                <w:sz w:val="22"/>
              </w:rPr>
              <w:t>↑ Accelerating</w:t>
            </w:r>
          </w:p>
        </w:tc>
      </w:tr>
      <w:tr>
        <w:tc>
          <w:tcPr>
            <w:tcW w:type="dxa" w:w="2880"/>
          </w:tcPr>
          <w:p>
            <w:r>
              <w:rPr>
                <w:rFonts w:ascii="Calibri" w:hAnsi="Calibri"/>
                <w:sz w:val="22"/>
              </w:rPr>
              <w:t>Marketing Spend</w:t>
            </w:r>
          </w:p>
        </w:tc>
        <w:tc>
          <w:tcPr>
            <w:tcW w:type="dxa" w:w="2880"/>
          </w:tcPr>
          <w:p>
            <w:r>
              <w:rPr>
                <w:rFonts w:ascii="Calibri" w:hAnsi="Calibri"/>
                <w:sz w:val="22"/>
              </w:rPr>
              <w:t>Peterffy: “Hell bent on trying to increase marketing spend” but “very strict about getting the required minimum return on every additional marketing dollar.” Growth is “going very slowly” while seeking new outlets.</w:t>
            </w:r>
          </w:p>
        </w:tc>
        <w:tc>
          <w:tcPr>
            <w:tcW w:type="dxa" w:w="2880"/>
          </w:tcPr>
          <w:p>
            <w:r>
              <w:rPr>
                <w:rFonts w:ascii="Calibri" w:hAnsi="Calibri"/>
                <w:sz w:val="22"/>
              </w:rPr>
              <w:t>→ ROI-Disciplined / Slow Growth</w:t>
            </w:r>
          </w:p>
        </w:tc>
      </w:tr>
      <w:tr>
        <w:tc>
          <w:tcPr>
            <w:tcW w:type="dxa" w:w="2880"/>
          </w:tcPr>
          <w:p>
            <w:r>
              <w:rPr>
                <w:rFonts w:ascii="Calibri" w:hAnsi="Calibri"/>
                <w:sz w:val="22"/>
              </w:rPr>
              <w:t>AI / Cash Optimization</w:t>
            </w:r>
          </w:p>
        </w:tc>
        <w:tc>
          <w:tcPr>
            <w:tcW w:type="dxa" w:w="2880"/>
          </w:tcPr>
          <w:p>
            <w:r>
              <w:rPr>
                <w:rFonts w:ascii="Calibri" w:hAnsi="Calibri"/>
                <w:sz w:val="22"/>
              </w:rPr>
              <w:t>Galik: “Somewhat ironic” that banks discuss AI for cash optimization when IBKR has always paid near-market rates. Peterffy: AI tools forcing other brokers to compete on cash rates could increase competition for IBKR.</w:t>
            </w:r>
          </w:p>
        </w:tc>
        <w:tc>
          <w:tcPr>
            <w:tcW w:type="dxa" w:w="2880"/>
          </w:tcPr>
          <w:p>
            <w:r>
              <w:rPr>
                <w:rFonts w:ascii="Calibri" w:hAnsi="Calibri"/>
                <w:sz w:val="22"/>
              </w:rPr>
              <w:t>↓ Modest Competitive Risk</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moved higher across all major KPIs since Q1 earnings, with commissions and accounts showing the most upward drift — consistent with management’s constructive tone and peer data confirming strong Q2 trading volumes.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2026 Consensus (Current)</w:t>
            </w:r>
          </w:p>
        </w:tc>
        <w:tc>
          <w:tcPr>
            <w:tcW w:type="dxa" w:w="1440"/>
            <w:shd w:val="clear" w:color="auto" w:fill="3B4259"/>
          </w:tcPr>
          <w:p>
            <w:r>
              <w:rPr>
                <w:rFonts w:ascii="Calibri" w:hAnsi="Calibri"/>
                <w:b/>
                <w:color w:val="FFFFFF"/>
                <w:sz w:val="22"/>
              </w:rPr>
              <w:t>QoQ Change (Implied)</w:t>
            </w:r>
          </w:p>
        </w:tc>
        <w:tc>
          <w:tcPr>
            <w:tcW w:type="dxa" w:w="1440"/>
            <w:shd w:val="clear" w:color="auto" w:fill="3B4259"/>
          </w:tcPr>
          <w:p>
            <w:r>
              <w:rPr>
                <w:rFonts w:ascii="Calibri" w:hAnsi="Calibri"/>
                <w:b/>
                <w:color w:val="FFFFFF"/>
                <w:sz w:val="22"/>
              </w:rPr>
              <w:t>Revision Trend</w:t>
            </w:r>
          </w:p>
        </w:tc>
        <w:tc>
          <w:tcPr>
            <w:tcW w:type="dxa" w:w="1440"/>
            <w:shd w:val="clear" w:color="auto" w:fill="3B4259"/>
          </w:tcPr>
          <w:p>
            <w:r>
              <w:rPr>
                <w:rFonts w:ascii="Calibri" w:hAnsi="Calibri"/>
                <w:b/>
                <w:color w:val="FFFFFF"/>
                <w:sz w:val="22"/>
              </w:rPr>
              <w:t>Risk vs. Consensus</w:t>
            </w:r>
          </w:p>
        </w:tc>
      </w:tr>
      <w:tr>
        <w:tc>
          <w:tcPr>
            <w:tcW w:type="dxa" w:w="1440"/>
          </w:tcPr>
          <w:p>
            <w:r>
              <w:rPr>
                <w:rFonts w:ascii="Calibri" w:hAnsi="Calibri"/>
                <w:sz w:val="22"/>
              </w:rPr>
              <w:t>Total Net Revenue ($M)</w:t>
            </w:r>
          </w:p>
        </w:tc>
        <w:tc>
          <w:tcPr>
            <w:tcW w:type="dxa" w:w="1440"/>
          </w:tcPr>
          <w:p>
            <w:r>
              <w:rPr>
                <w:rFonts w:ascii="Calibri" w:hAnsi="Calibri"/>
                <w:sz w:val="22"/>
              </w:rPr>
              <w:t>$1,669M</w:t>
            </w:r>
          </w:p>
        </w:tc>
        <w:tc>
          <w:tcPr>
            <w:tcW w:type="dxa" w:w="1440"/>
          </w:tcPr>
          <w:p>
            <w:r>
              <w:rPr>
                <w:rFonts w:ascii="Calibri" w:hAnsi="Calibri"/>
                <w:sz w:val="22"/>
              </w:rPr>
              <w:t>$1,738M</w:t>
            </w:r>
          </w:p>
        </w:tc>
        <w:tc>
          <w:tcPr>
            <w:tcW w:type="dxa" w:w="1440"/>
          </w:tcPr>
          <w:p>
            <w:r>
              <w:rPr>
                <w:rFonts w:ascii="Calibri" w:hAnsi="Calibri"/>
                <w:sz w:val="22"/>
              </w:rPr>
              <w:t>+$69M / +4.1%</w:t>
            </w:r>
          </w:p>
        </w:tc>
        <w:tc>
          <w:tcPr>
            <w:tcW w:type="dxa" w:w="1440"/>
          </w:tcPr>
          <w:p>
            <w:r>
              <w:rPr>
                <w:rFonts w:ascii="Calibri" w:hAnsi="Calibri"/>
                <w:b/>
                <w:color w:val="30A46C"/>
                <w:sz w:val="22"/>
              </w:rPr>
              <w:t>↑ Rising</w:t>
            </w:r>
          </w:p>
        </w:tc>
        <w:tc>
          <w:tcPr>
            <w:tcW w:type="dxa" w:w="1440"/>
          </w:tcPr>
          <w:p>
            <w:r>
              <w:rPr>
                <w:rFonts w:ascii="Calibri" w:hAnsi="Calibri"/>
                <w:sz w:val="22"/>
              </w:rPr>
              <w:t>Upside if DARTs/NII both deliver</w:t>
            </w:r>
          </w:p>
        </w:tc>
      </w:tr>
      <w:tr>
        <w:tc>
          <w:tcPr>
            <w:tcW w:type="dxa" w:w="1440"/>
          </w:tcPr>
          <w:p>
            <w:r>
              <w:rPr>
                <w:rFonts w:ascii="Calibri" w:hAnsi="Calibri"/>
                <w:sz w:val="22"/>
              </w:rPr>
              <w:t>Operating EPS ($)</w:t>
            </w:r>
          </w:p>
        </w:tc>
        <w:tc>
          <w:tcPr>
            <w:tcW w:type="dxa" w:w="1440"/>
          </w:tcPr>
          <w:p>
            <w:r>
              <w:rPr>
                <w:rFonts w:ascii="Calibri" w:hAnsi="Calibri"/>
                <w:sz w:val="22"/>
              </w:rPr>
              <w:t>$0.60</w:t>
            </w:r>
          </w:p>
        </w:tc>
        <w:tc>
          <w:tcPr>
            <w:tcW w:type="dxa" w:w="1440"/>
          </w:tcPr>
          <w:p>
            <w:r>
              <w:rPr>
                <w:rFonts w:ascii="Calibri" w:hAnsi="Calibri"/>
                <w:sz w:val="22"/>
              </w:rPr>
              <w:t>$0.63</w:t>
            </w:r>
          </w:p>
        </w:tc>
        <w:tc>
          <w:tcPr>
            <w:tcW w:type="dxa" w:w="1440"/>
          </w:tcPr>
          <w:p>
            <w:r>
              <w:rPr>
                <w:rFonts w:ascii="Calibri" w:hAnsi="Calibri"/>
                <w:sz w:val="22"/>
              </w:rPr>
              <w:t>+$0.03 / +5.0%</w:t>
            </w:r>
          </w:p>
        </w:tc>
        <w:tc>
          <w:tcPr>
            <w:tcW w:type="dxa" w:w="1440"/>
          </w:tcPr>
          <w:p>
            <w:r>
              <w:rPr>
                <w:rFonts w:ascii="Calibri" w:hAnsi="Calibri"/>
                <w:b/>
                <w:color w:val="30A46C"/>
                <w:sz w:val="22"/>
              </w:rPr>
              <w:t>↑ Rising</w:t>
            </w:r>
          </w:p>
        </w:tc>
        <w:tc>
          <w:tcPr>
            <w:tcW w:type="dxa" w:w="1440"/>
          </w:tcPr>
          <w:p>
            <w:r>
              <w:rPr>
                <w:rFonts w:ascii="Calibri" w:hAnsi="Calibri"/>
                <w:sz w:val="22"/>
              </w:rPr>
              <w:t>Upside if margin holds &gt;70%</w:t>
            </w:r>
          </w:p>
        </w:tc>
      </w:tr>
      <w:tr>
        <w:tc>
          <w:tcPr>
            <w:tcW w:type="dxa" w:w="1440"/>
          </w:tcPr>
          <w:p>
            <w:r>
              <w:rPr>
                <w:rFonts w:ascii="Calibri" w:hAnsi="Calibri"/>
                <w:sz w:val="22"/>
              </w:rPr>
              <w:t>Total Accounts (K)</w:t>
            </w:r>
          </w:p>
        </w:tc>
        <w:tc>
          <w:tcPr>
            <w:tcW w:type="dxa" w:w="1440"/>
          </w:tcPr>
          <w:p>
            <w:r>
              <w:rPr>
                <w:rFonts w:ascii="Calibri" w:hAnsi="Calibri"/>
                <w:sz w:val="22"/>
              </w:rPr>
              <w:t>4,754K</w:t>
            </w:r>
          </w:p>
        </w:tc>
        <w:tc>
          <w:tcPr>
            <w:tcW w:type="dxa" w:w="1440"/>
          </w:tcPr>
          <w:p>
            <w:r>
              <w:rPr>
                <w:rFonts w:ascii="Calibri" w:hAnsi="Calibri"/>
                <w:sz w:val="22"/>
              </w:rPr>
              <w:t>5,126K</w:t>
            </w:r>
          </w:p>
        </w:tc>
        <w:tc>
          <w:tcPr>
            <w:tcW w:type="dxa" w:w="1440"/>
          </w:tcPr>
          <w:p>
            <w:r>
              <w:rPr>
                <w:rFonts w:ascii="Calibri" w:hAnsi="Calibri"/>
                <w:sz w:val="22"/>
              </w:rPr>
              <w:t>+372K / +7.8%</w:t>
            </w:r>
          </w:p>
        </w:tc>
        <w:tc>
          <w:tcPr>
            <w:tcW w:type="dxa" w:w="1440"/>
          </w:tcPr>
          <w:p>
            <w:r>
              <w:rPr>
                <w:rFonts w:ascii="Calibri" w:hAnsi="Calibri"/>
                <w:b/>
                <w:color w:val="30A46C"/>
                <w:sz w:val="22"/>
              </w:rPr>
              <w:t>↑ Rising</w:t>
            </w:r>
          </w:p>
        </w:tc>
        <w:tc>
          <w:tcPr>
            <w:tcW w:type="dxa" w:w="1440"/>
          </w:tcPr>
          <w:p>
            <w:r>
              <w:rPr>
                <w:rFonts w:ascii="Calibri" w:hAnsi="Calibri"/>
                <w:sz w:val="22"/>
              </w:rPr>
              <w:t>Upside; IBKR has beaten account estimates consistently</w:t>
            </w:r>
          </w:p>
        </w:tc>
      </w:tr>
      <w:tr>
        <w:tc>
          <w:tcPr>
            <w:tcW w:type="dxa" w:w="1440"/>
          </w:tcPr>
          <w:p>
            <w:r>
              <w:rPr>
                <w:rFonts w:ascii="Calibri" w:hAnsi="Calibri"/>
                <w:sz w:val="22"/>
              </w:rPr>
              <w:t>DARTs (K)</w:t>
            </w:r>
          </w:p>
        </w:tc>
        <w:tc>
          <w:tcPr>
            <w:tcW w:type="dxa" w:w="1440"/>
          </w:tcPr>
          <w:p>
            <w:r>
              <w:rPr>
                <w:rFonts w:ascii="Calibri" w:hAnsi="Calibri"/>
                <w:sz w:val="22"/>
              </w:rPr>
              <w:t>4,368K</w:t>
            </w:r>
          </w:p>
        </w:tc>
        <w:tc>
          <w:tcPr>
            <w:tcW w:type="dxa" w:w="1440"/>
          </w:tcPr>
          <w:p>
            <w:r>
              <w:rPr>
                <w:rFonts w:ascii="Calibri" w:hAnsi="Calibri"/>
                <w:sz w:val="22"/>
              </w:rPr>
              <w:t>4,666K</w:t>
            </w:r>
          </w:p>
        </w:tc>
        <w:tc>
          <w:tcPr>
            <w:tcW w:type="dxa" w:w="1440"/>
          </w:tcPr>
          <w:p>
            <w:r>
              <w:rPr>
                <w:rFonts w:ascii="Calibri" w:hAnsi="Calibri"/>
                <w:sz w:val="22"/>
              </w:rPr>
              <w:t>+298K / +6.8%</w:t>
            </w:r>
          </w:p>
        </w:tc>
        <w:tc>
          <w:tcPr>
            <w:tcW w:type="dxa" w:w="1440"/>
          </w:tcPr>
          <w:p>
            <w:r>
              <w:rPr>
                <w:rFonts w:ascii="Calibri" w:hAnsi="Calibri"/>
                <w:b/>
                <w:color w:val="30A46C"/>
                <w:sz w:val="22"/>
              </w:rPr>
              <w:t>↑ Rising</w:t>
            </w:r>
          </w:p>
        </w:tc>
        <w:tc>
          <w:tcPr>
            <w:tcW w:type="dxa" w:w="1440"/>
          </w:tcPr>
          <w:p>
            <w:r>
              <w:rPr>
                <w:rFonts w:ascii="Calibri" w:hAnsi="Calibri"/>
                <w:sz w:val="22"/>
              </w:rPr>
              <w:t>Upside; peer data confirms strong April/May volumes</w:t>
            </w:r>
          </w:p>
        </w:tc>
      </w:tr>
      <w:tr>
        <w:tc>
          <w:tcPr>
            <w:tcW w:type="dxa" w:w="1440"/>
          </w:tcPr>
          <w:p>
            <w:r>
              <w:rPr>
                <w:rFonts w:ascii="Calibri" w:hAnsi="Calibri"/>
                <w:sz w:val="22"/>
              </w:rPr>
              <w:t>Net Interest Income ($M)</w:t>
            </w:r>
          </w:p>
        </w:tc>
        <w:tc>
          <w:tcPr>
            <w:tcW w:type="dxa" w:w="1440"/>
          </w:tcPr>
          <w:p>
            <w:r>
              <w:rPr>
                <w:rFonts w:ascii="Calibri" w:hAnsi="Calibri"/>
                <w:sz w:val="22"/>
              </w:rPr>
              <w:t>$953M</w:t>
            </w:r>
          </w:p>
        </w:tc>
        <w:tc>
          <w:tcPr>
            <w:tcW w:type="dxa" w:w="1440"/>
          </w:tcPr>
          <w:p>
            <w:r>
              <w:rPr>
                <w:rFonts w:ascii="Calibri" w:hAnsi="Calibri"/>
                <w:sz w:val="22"/>
              </w:rPr>
              <w:t>$1,014M</w:t>
            </w:r>
          </w:p>
        </w:tc>
        <w:tc>
          <w:tcPr>
            <w:tcW w:type="dxa" w:w="1440"/>
          </w:tcPr>
          <w:p>
            <w:r>
              <w:rPr>
                <w:rFonts w:ascii="Calibri" w:hAnsi="Calibri"/>
                <w:sz w:val="22"/>
              </w:rPr>
              <w:t>+$61M / +6.4%</w:t>
            </w:r>
          </w:p>
        </w:tc>
        <w:tc>
          <w:tcPr>
            <w:tcW w:type="dxa" w:w="1440"/>
          </w:tcPr>
          <w:p>
            <w:r>
              <w:rPr>
                <w:rFonts w:ascii="Calibri" w:hAnsi="Calibri"/>
                <w:sz w:val="22"/>
              </w:rPr>
              <w:t>→ Stable</w:t>
            </w:r>
          </w:p>
        </w:tc>
        <w:tc>
          <w:tcPr>
            <w:tcW w:type="dxa" w:w="1440"/>
          </w:tcPr>
          <w:p>
            <w:r>
              <w:rPr>
                <w:rFonts w:ascii="Calibri" w:hAnsi="Calibri"/>
                <w:sz w:val="22"/>
              </w:rPr>
              <w:t>Key risk; rate sensitivity + balance growth are offsetting forces</w:t>
            </w:r>
          </w:p>
        </w:tc>
      </w:tr>
      <w:tr>
        <w:tc>
          <w:tcPr>
            <w:tcW w:type="dxa" w:w="1440"/>
          </w:tcPr>
          <w:p>
            <w:r>
              <w:rPr>
                <w:rFonts w:ascii="Calibri" w:hAnsi="Calibri"/>
                <w:sz w:val="22"/>
              </w:rPr>
              <w:t>Commissions ($M)</w:t>
            </w:r>
          </w:p>
        </w:tc>
        <w:tc>
          <w:tcPr>
            <w:tcW w:type="dxa" w:w="1440"/>
          </w:tcPr>
          <w:p>
            <w:r>
              <w:rPr>
                <w:rFonts w:ascii="Calibri" w:hAnsi="Calibri"/>
                <w:sz w:val="22"/>
              </w:rPr>
              <w:t>$613M</w:t>
            </w:r>
          </w:p>
        </w:tc>
        <w:tc>
          <w:tcPr>
            <w:tcW w:type="dxa" w:w="1440"/>
          </w:tcPr>
          <w:p>
            <w:r>
              <w:rPr>
                <w:rFonts w:ascii="Calibri" w:hAnsi="Calibri"/>
                <w:sz w:val="22"/>
              </w:rPr>
              <w:t>$676M</w:t>
            </w:r>
          </w:p>
        </w:tc>
        <w:tc>
          <w:tcPr>
            <w:tcW w:type="dxa" w:w="1440"/>
          </w:tcPr>
          <w:p>
            <w:r>
              <w:rPr>
                <w:rFonts w:ascii="Calibri" w:hAnsi="Calibri"/>
                <w:sz w:val="22"/>
              </w:rPr>
              <w:t>+$63M / +10.3%</w:t>
            </w:r>
          </w:p>
        </w:tc>
        <w:tc>
          <w:tcPr>
            <w:tcW w:type="dxa" w:w="1440"/>
          </w:tcPr>
          <w:p>
            <w:r>
              <w:rPr>
                <w:rFonts w:ascii="Calibri" w:hAnsi="Calibri"/>
                <w:b/>
                <w:color w:val="30A46C"/>
                <w:sz w:val="22"/>
              </w:rPr>
              <w:t>↑ Rising</w:t>
            </w:r>
          </w:p>
        </w:tc>
        <w:tc>
          <w:tcPr>
            <w:tcW w:type="dxa" w:w="1440"/>
          </w:tcPr>
          <w:p>
            <w:r>
              <w:rPr>
                <w:rFonts w:ascii="Calibri" w:hAnsi="Calibri"/>
                <w:sz w:val="22"/>
              </w:rPr>
              <w:t>Upside; peer volumes confirm strong Q2 trading environment</w:t>
            </w:r>
          </w:p>
        </w:tc>
      </w:tr>
      <w:tr>
        <w:tc>
          <w:tcPr>
            <w:tcW w:type="dxa" w:w="1440"/>
          </w:tcPr>
          <w:p>
            <w:r>
              <w:rPr>
                <w:rFonts w:ascii="Calibri" w:hAnsi="Calibri"/>
                <w:sz w:val="22"/>
              </w:rPr>
              <w:t>Operating Pre-Tax Income ($M)</w:t>
            </w:r>
          </w:p>
        </w:tc>
        <w:tc>
          <w:tcPr>
            <w:tcW w:type="dxa" w:w="1440"/>
          </w:tcPr>
          <w:p>
            <w:r>
              <w:rPr>
                <w:rFonts w:ascii="Calibri" w:hAnsi="Calibri"/>
                <w:sz w:val="22"/>
              </w:rPr>
              <w:t>$1,299M</w:t>
            </w:r>
          </w:p>
        </w:tc>
        <w:tc>
          <w:tcPr>
            <w:tcW w:type="dxa" w:w="1440"/>
          </w:tcPr>
          <w:p>
            <w:r>
              <w:rPr>
                <w:rFonts w:ascii="Calibri" w:hAnsi="Calibri"/>
                <w:sz w:val="22"/>
              </w:rPr>
              <w:t>$1,357M</w:t>
            </w:r>
          </w:p>
        </w:tc>
        <w:tc>
          <w:tcPr>
            <w:tcW w:type="dxa" w:w="1440"/>
          </w:tcPr>
          <w:p>
            <w:r>
              <w:rPr>
                <w:rFonts w:ascii="Calibri" w:hAnsi="Calibri"/>
                <w:sz w:val="22"/>
              </w:rPr>
              <w:t>+$58M / +4.5%</w:t>
            </w:r>
          </w:p>
        </w:tc>
        <w:tc>
          <w:tcPr>
            <w:tcW w:type="dxa" w:w="1440"/>
          </w:tcPr>
          <w:p>
            <w:r>
              <w:rPr>
                <w:rFonts w:ascii="Calibri" w:hAnsi="Calibri"/>
                <w:b/>
                <w:color w:val="30A46C"/>
                <w:sz w:val="22"/>
              </w:rPr>
              <w:t>↑ Rising</w:t>
            </w:r>
          </w:p>
        </w:tc>
        <w:tc>
          <w:tcPr>
            <w:tcW w:type="dxa" w:w="1440"/>
          </w:tcPr>
          <w:p>
            <w:r>
              <w:rPr>
                <w:rFonts w:ascii="Calibri" w:hAnsi="Calibri"/>
                <w:sz w:val="22"/>
              </w:rPr>
              <w:t>Upside if expense discipline maintained</w:t>
            </w:r>
          </w:p>
        </w:tc>
      </w:tr>
    </w:tbl>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IBKR has significantly outperformed both the S&amp;P 500 and the Capital Markets ETF (KCE) since Q1 earnings, up +13.7% vs. +5.6% for SPY and +3.6% for KCE — the stock is pricing in continued execution and leaves limited room for a miss.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IBKR vs. KCE (Capital Markets ETF) vs. S&amp;P 500 — Indexed to 100 at Q1 2026 Earnings (Apr 21,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IBKR</w:t>
            </w:r>
          </w:p>
        </w:tc>
        <w:tc>
          <w:tcPr>
            <w:tcW w:type="dxa" w:w="2160"/>
            <w:shd w:val="clear" w:color="auto" w:fill="3B4259"/>
          </w:tcPr>
          <w:p>
            <w:r>
              <w:rPr>
                <w:rFonts w:ascii="Calibri" w:hAnsi="Calibri"/>
                <w:b/>
                <w:color w:val="FFFFFF"/>
                <w:sz w:val="22"/>
              </w:rPr>
              <w:t>SPY (S&amp;P 500)</w:t>
            </w:r>
          </w:p>
        </w:tc>
        <w:tc>
          <w:tcPr>
            <w:tcW w:type="dxa" w:w="2160"/>
            <w:shd w:val="clear" w:color="auto" w:fill="3B4259"/>
          </w:tcPr>
          <w:p>
            <w:r>
              <w:rPr>
                <w:rFonts w:ascii="Calibri" w:hAnsi="Calibri"/>
                <w:b/>
                <w:color w:val="FFFFFF"/>
                <w:sz w:val="22"/>
              </w:rPr>
              <w:t>KCE (Capital Markets ETF)</w:t>
            </w:r>
          </w:p>
        </w:tc>
      </w:tr>
      <w:tr>
        <w:tc>
          <w:tcPr>
            <w:tcW w:type="dxa" w:w="2160"/>
          </w:tcPr>
          <w:p>
            <w:r>
              <w:rPr>
                <w:rFonts w:ascii="Calibri" w:hAnsi="Calibri"/>
                <w:sz w:val="22"/>
              </w:rPr>
              <w:t>Price at Q1 Earnings (Apr 21, 2026)</w:t>
            </w:r>
          </w:p>
        </w:tc>
        <w:tc>
          <w:tcPr>
            <w:tcW w:type="dxa" w:w="2160"/>
          </w:tcPr>
          <w:p>
            <w:r>
              <w:rPr>
                <w:rFonts w:ascii="Calibri" w:hAnsi="Calibri"/>
                <w:sz w:val="22"/>
              </w:rPr>
              <w:t>$79.62</w:t>
            </w:r>
          </w:p>
        </w:tc>
        <w:tc>
          <w:tcPr>
            <w:tcW w:type="dxa" w:w="2160"/>
          </w:tcPr>
          <w:p>
            <w:r>
              <w:rPr>
                <w:rFonts w:ascii="Calibri" w:hAnsi="Calibri"/>
                <w:sz w:val="22"/>
              </w:rPr>
              <w:t>$704.08</w:t>
            </w:r>
          </w:p>
        </w:tc>
        <w:tc>
          <w:tcPr>
            <w:tcW w:type="dxa" w:w="2160"/>
          </w:tcPr>
          <w:p>
            <w:r>
              <w:rPr>
                <w:rFonts w:ascii="Calibri" w:hAnsi="Calibri"/>
                <w:sz w:val="22"/>
              </w:rPr>
              <w:t>$152.78</w:t>
            </w:r>
          </w:p>
        </w:tc>
      </w:tr>
      <w:tr>
        <w:tc>
          <w:tcPr>
            <w:tcW w:type="dxa" w:w="2160"/>
          </w:tcPr>
          <w:p>
            <w:r>
              <w:rPr>
                <w:rFonts w:ascii="Calibri" w:hAnsi="Calibri"/>
                <w:sz w:val="22"/>
              </w:rPr>
              <w:t>Price as of Jul 17, 2026</w:t>
            </w:r>
          </w:p>
        </w:tc>
        <w:tc>
          <w:tcPr>
            <w:tcW w:type="dxa" w:w="2160"/>
          </w:tcPr>
          <w:p>
            <w:r>
              <w:rPr>
                <w:rFonts w:ascii="Calibri" w:hAnsi="Calibri"/>
                <w:sz w:val="22"/>
              </w:rPr>
              <w:t>$90.55</w:t>
            </w:r>
          </w:p>
        </w:tc>
        <w:tc>
          <w:tcPr>
            <w:tcW w:type="dxa" w:w="2160"/>
          </w:tcPr>
          <w:p>
            <w:r>
              <w:rPr>
                <w:rFonts w:ascii="Calibri" w:hAnsi="Calibri"/>
                <w:sz w:val="22"/>
              </w:rPr>
              <w:t>$743.33</w:t>
            </w:r>
          </w:p>
        </w:tc>
        <w:tc>
          <w:tcPr>
            <w:tcW w:type="dxa" w:w="2160"/>
          </w:tcPr>
          <w:p>
            <w:r>
              <w:rPr>
                <w:rFonts w:ascii="Calibri" w:hAnsi="Calibri"/>
                <w:sz w:val="22"/>
              </w:rPr>
              <w:t>$158.22</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+13.7%</w:t>
            </w:r>
          </w:p>
        </w:tc>
        <w:tc>
          <w:tcPr>
            <w:tcW w:type="dxa" w:w="2160"/>
          </w:tcPr>
          <w:p>
            <w:r>
              <w:rPr>
                <w:rFonts w:ascii="Calibri" w:hAnsi="Calibri"/>
                <w:sz w:val="22"/>
              </w:rPr>
              <w:t>+5.6%</w:t>
            </w:r>
          </w:p>
        </w:tc>
        <w:tc>
          <w:tcPr>
            <w:tcW w:type="dxa" w:w="2160"/>
          </w:tcPr>
          <w:p>
            <w:r>
              <w:rPr>
                <w:rFonts w:ascii="Calibri" w:hAnsi="Calibri"/>
                <w:sz w:val="22"/>
              </w:rPr>
              <w:t>+3.6%</w:t>
            </w:r>
          </w:p>
        </w:tc>
      </w:tr>
      <w:tr>
        <w:tc>
          <w:tcPr>
            <w:tcW w:type="dxa" w:w="2160"/>
          </w:tcPr>
          <w:p>
            <w:r>
              <w:rPr>
                <w:rFonts w:ascii="Calibri" w:hAnsi="Calibri"/>
                <w:sz w:val="22"/>
              </w:rPr>
              <w:t>52-Week High (approx.)</w:t>
            </w:r>
          </w:p>
        </w:tc>
        <w:tc>
          <w:tcPr>
            <w:tcW w:type="dxa" w:w="2160"/>
          </w:tcPr>
          <w:p>
            <w:r>
              <w:rPr>
                <w:rFonts w:ascii="Calibri" w:hAnsi="Calibri"/>
                <w:sz w:val="22"/>
              </w:rPr>
              <w:t>$97.41 (Jul 15, 2026)</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color w:val="525866"/>
          <w:sz w:val="22"/>
        </w:rPr>
        <w:t>IBKR hit a recent high of $97.41 on July 15, 2026 before pulling back to $90.55 on July 17, 2026 — a ~7% retreat from peak in the two sessions ahead of earnings, which may reflect some profit-taking and positioning ahead of the print. The stock’s outperformance vs. KCE (+10.1 percentage points) reflects IBKR-specific alpha from account growth momentum and the PDT rule tailwind narrative, rather than a broad capital markets sector re-rating. At current levels, the stock is pricing in continued execution; any NII shortfall or softer-than-expected account additions could trigger a sharp reversal given the elevated entry point.</w:t>
      </w:r>
    </w:p>
    <w:p>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Q2 2026 reporting season (and Q1 2026 calls with Q2 forward commentary) is uniformly constructive for IBKR — strong retail trading volumes, record options/equity activity, and robust account growth trends all read through positively to IBKR’s commission and DART lines.</w:t>
      </w:r>
    </w:p>
    <w:p>
      <w:r>
        <w:rPr>
          <w:rFonts w:ascii="Calibri" w:hAnsi="Calibri"/>
          <w:i/>
          <w:color w:val="525866"/>
          <w:sz w:val="22"/>
        </w:rPr>
        <w:t>Note: Only commentary from peers reporting Q2 2026 results or providing Q2 2026 forward-looking commentary (post-Q1 2026 earnings) is included below. Prior-quarter results commentary has been excluded.</w:t>
      </w:r>
    </w:p>
    <w:p>
      <w:pPr>
        <w:pStyle w:val="Heading3"/>
      </w:pPr>
      <w:r>
        <w:rPr>
          <w:rFonts w:ascii="Calibri" w:hAnsi="Calibri"/>
          <w:b/>
          <w:color w:val="3B4259"/>
          <w:sz w:val="24"/>
        </w:rPr>
        <w:t>Robinhood (HOOD) — Q1 2026 Earnings Call (Apr 28, 2026) | Q2 2026 Forward Commentary</w:t>
      </w:r>
    </w:p>
    <w:p>
      <w:r>
        <w:rPr>
          <w:rFonts w:ascii="Calibri" w:hAnsi="Calibri"/>
          <w:b/>
          <w:color w:val="525866"/>
          <w:sz w:val="22"/>
        </w:rPr>
        <w:t xml:space="preserve">Read-Through: </w:t>
      </w:r>
      <w:r>
        <w:rPr>
          <w:rFonts w:ascii="Calibri" w:hAnsi="Calibri"/>
          <w:b/>
          <w:color w:val="30A46C"/>
          <w:sz w:val="22"/>
        </w:rPr>
        <w:t>Strongly Positive for IBKR DARTs and Commissions</w:t>
      </w:r>
    </w:p>
    <w:p>
      <w:pPr>
        <w:pStyle w:val="ListBullet"/>
        <w:ind w:left="360" w:hanging="360"/>
      </w:pPr>
      <w:r>
        <w:rPr>
          <w:rFonts w:ascii="Calibri" w:hAnsi="Calibri"/>
          <w:b/>
          <w:color w:val="525866"/>
          <w:sz w:val="22"/>
        </w:rPr>
        <w:t xml:space="preserve">Trading volumes surge into Q2: </w:t>
      </w:r>
      <w:r>
        <w:rPr>
          <w:rFonts w:ascii="Calibri" w:hAnsi="Calibri"/>
          <w:color w:val="525866"/>
          <w:sz w:val="22"/>
        </w:rPr>
        <w:t>Robinhood reported that Q2 2026 was “off to a good start in April” with equity and options trading volumes “on track to be the highest month of the year and actually our second highest month in history.” This is a direct read-through to IBKR’s DART line, which consensus expects at 4,666K for Q2 2026 (+6.8% QoQ).</w:t>
      </w:r>
    </w:p>
    <w:p>
      <w:pPr>
        <w:pStyle w:val="ListBullet"/>
        <w:ind w:left="360" w:hanging="360"/>
      </w:pPr>
      <w:r>
        <w:rPr>
          <w:rFonts w:ascii="Calibri" w:hAnsi="Calibri"/>
          <w:b/>
          <w:color w:val="525866"/>
          <w:sz w:val="22"/>
        </w:rPr>
        <w:t xml:space="preserve">Net deposits strong: </w:t>
      </w:r>
      <w:r>
        <w:rPr>
          <w:rFonts w:ascii="Calibri" w:hAnsi="Calibri"/>
          <w:color w:val="525866"/>
          <w:sz w:val="22"/>
        </w:rPr>
        <w:t>Net deposits in April were approximately $5 billion month-to-date, and retirement assets crossed $30 billion — signaling continued retail investor engagement and asset gathering, consistent with IBKR’s account growth trajectory.</w:t>
      </w:r>
    </w:p>
    <w:p>
      <w:pPr>
        <w:pStyle w:val="ListBullet"/>
        <w:ind w:left="360" w:hanging="360"/>
      </w:pPr>
      <w:r>
        <w:rPr>
          <w:rFonts w:ascii="Calibri" w:hAnsi="Calibri"/>
          <w:b/>
          <w:color w:val="525866"/>
          <w:sz w:val="22"/>
        </w:rPr>
        <w:t xml:space="preserve">Account growth accelerating: </w:t>
      </w:r>
      <w:r>
        <w:rPr>
          <w:rFonts w:ascii="Calibri" w:hAnsi="Calibri"/>
          <w:color w:val="525866"/>
          <w:sz w:val="22"/>
        </w:rPr>
        <w:t>Robinhood added 500,000 funded accounts in Q1 and over 1.5 million in the past year. The company is increasing focus on top-of-funnel customer growth both in the U.S. and internationally — a trend that mirrors IBKR’s own account growth narrative.</w:t>
      </w:r>
    </w:p>
    <w:p>
      <w:pPr>
        <w:pStyle w:val="ListBullet"/>
        <w:ind w:left="360" w:hanging="360"/>
      </w:pPr>
      <w:r>
        <w:rPr>
          <w:rFonts w:ascii="Calibri" w:hAnsi="Calibri"/>
          <w:b/>
          <w:color w:val="525866"/>
          <w:sz w:val="22"/>
        </w:rPr>
        <w:t xml:space="preserve">Prediction markets gaining traction: </w:t>
      </w:r>
      <w:r>
        <w:rPr>
          <w:rFonts w:ascii="Calibri" w:hAnsi="Calibri"/>
          <w:color w:val="525866"/>
          <w:sz w:val="22"/>
        </w:rPr>
        <w:t>Robinhood is preparing for the Q2 launch of Rothera, a joint venture with Susquehanna for prediction markets — validating IBKR’s ForecastEx investment thesis and suggesting the category is becoming mainstream.</w:t>
      </w:r>
    </w:p>
    <w:p>
      <w:pPr>
        <w:pStyle w:val="ListBullet"/>
        <w:ind w:left="360" w:hanging="360"/>
      </w:pPr>
      <w:r>
        <w:rPr>
          <w:rFonts w:ascii="Calibri" w:hAnsi="Calibri"/>
          <w:b/>
          <w:color w:val="525866"/>
          <w:sz w:val="22"/>
        </w:rPr>
        <w:t xml:space="preserve">Options volumes double-digit YoY: </w:t>
      </w:r>
      <w:r>
        <w:rPr>
          <w:rFonts w:ascii="Calibri" w:hAnsi="Calibri"/>
          <w:color w:val="525866"/>
          <w:sz w:val="22"/>
        </w:rPr>
        <w:t>Double-digit year-over-year growth in equity and option volumes in Q1, with April on track to be the highest of the year — directly supportive of IBKR’s commission per DART and total commissions line.</w:t>
      </w:r>
    </w:p>
    <w:p>
      <w:pPr>
        <w:pStyle w:val="ListBullet"/>
        <w:ind w:left="360" w:hanging="360"/>
      </w:pPr>
      <w:r>
        <w:rPr>
          <w:rFonts w:ascii="Calibri" w:hAnsi="Calibri"/>
          <w:b/>
          <w:color w:val="525866"/>
          <w:sz w:val="22"/>
        </w:rPr>
        <w:t xml:space="preserve">Crypto volumes stable: </w:t>
      </w:r>
      <w:r>
        <w:rPr>
          <w:rFonts w:ascii="Calibri" w:hAnsi="Calibri"/>
          <w:color w:val="525866"/>
          <w:sz w:val="22"/>
        </w:rPr>
        <w:t>Crypto volumes in April remained “similar to Q1 levels,” suggesting no incremental crypto tailwind but also no headwind for IBKR’s expanding crypto offering.</w:t>
      </w:r>
    </w:p>
    <w:p>
      <w:pPr>
        <w:pStyle w:val="Heading3"/>
      </w:pPr>
      <w:r>
        <w:rPr>
          <w:rFonts w:ascii="Calibri" w:hAnsi="Calibri"/>
          <w:b/>
          <w:color w:val="3B4259"/>
          <w:sz w:val="24"/>
        </w:rPr>
        <w:t>Virtu Financial (VIRT) — Q1 2026 Earnings Release (Apr 29, 2026) | Q2 2026 Forward Commentary</w:t>
      </w:r>
    </w:p>
    <w:p>
      <w:r>
        <w:rPr>
          <w:rFonts w:ascii="Calibri" w:hAnsi="Calibri"/>
          <w:b/>
          <w:color w:val="525866"/>
          <w:sz w:val="22"/>
        </w:rPr>
        <w:t xml:space="preserve">Read-Through: </w:t>
      </w:r>
      <w:r>
        <w:rPr>
          <w:rFonts w:ascii="Calibri" w:hAnsi="Calibri"/>
          <w:b/>
          <w:color w:val="30A46C"/>
          <w:sz w:val="22"/>
        </w:rPr>
        <w:t>Positive for IBKR Trading Volumes and Market Structure</w:t>
      </w:r>
    </w:p>
    <w:p>
      <w:pPr>
        <w:pStyle w:val="ListBullet"/>
        <w:ind w:left="360" w:hanging="360"/>
      </w:pPr>
      <w:r>
        <w:rPr>
          <w:rFonts w:ascii="Calibri" w:hAnsi="Calibri"/>
          <w:b/>
          <w:color w:val="525866"/>
          <w:sz w:val="22"/>
        </w:rPr>
        <w:t xml:space="preserve">Market-making volumes elevated: </w:t>
      </w:r>
      <w:r>
        <w:rPr>
          <w:rFonts w:ascii="Calibri" w:hAnsi="Calibri"/>
          <w:color w:val="525866"/>
          <w:sz w:val="22"/>
        </w:rPr>
        <w:t>Virtu’s Q1 2026 results reflected strong market-making activity driven by elevated volatility and retail participation — a constructive backdrop that directly benefits IBKR’s DART and commission lines heading into Q2.</w:t>
      </w:r>
    </w:p>
    <w:p>
      <w:pPr>
        <w:pStyle w:val="ListBullet"/>
        <w:ind w:left="360" w:hanging="360"/>
      </w:pPr>
      <w:r>
        <w:rPr>
          <w:rFonts w:ascii="Calibri" w:hAnsi="Calibri"/>
          <w:b/>
          <w:color w:val="525866"/>
          <w:sz w:val="22"/>
        </w:rPr>
        <w:t xml:space="preserve">Retail engagement remains robust: </w:t>
      </w:r>
      <w:r>
        <w:rPr>
          <w:rFonts w:ascii="Calibri" w:hAnsi="Calibri"/>
          <w:color w:val="525866"/>
          <w:sz w:val="22"/>
        </w:rPr>
        <w:t>Virtu’s business as a market maker is a direct function of retail order flow volume; strong Virtu results confirm the retail trading environment that IBKR operates in remained active through the quarter.</w:t>
      </w:r>
    </w:p>
    <w:p>
      <w:pPr>
        <w:pStyle w:val="Heading3"/>
      </w:pPr>
      <w:r>
        <w:rPr>
          <w:rFonts w:ascii="Calibri" w:hAnsi="Calibri"/>
          <w:b/>
          <w:color w:val="3B4259"/>
          <w:sz w:val="24"/>
        </w:rPr>
        <w:t>StoneX Group (SNEX) — Q2 2026 Earnings Call (May 7, 2026) | Reporting Q2 2026 Results</w:t>
      </w:r>
    </w:p>
    <w:p>
      <w:r>
        <w:rPr>
          <w:rFonts w:ascii="Calibri" w:hAnsi="Calibri"/>
          <w:b/>
          <w:color w:val="525866"/>
          <w:sz w:val="22"/>
        </w:rPr>
        <w:t xml:space="preserve">Read-Through: </w:t>
      </w:r>
      <w:r>
        <w:rPr>
          <w:rFonts w:ascii="Calibri" w:hAnsi="Calibri"/>
          <w:b/>
          <w:color w:val="30A46C"/>
          <w:sz w:val="22"/>
        </w:rPr>
        <w:t>Positive for IBKR Institutional and Retail Brokerage Activity</w:t>
      </w:r>
    </w:p>
    <w:p>
      <w:pPr>
        <w:pStyle w:val="ListBullet"/>
        <w:ind w:left="360" w:hanging="360"/>
      </w:pPr>
      <w:r>
        <w:rPr>
          <w:rFonts w:ascii="Calibri" w:hAnsi="Calibri"/>
          <w:b/>
          <w:color w:val="525866"/>
          <w:sz w:val="22"/>
        </w:rPr>
        <w:t xml:space="preserve">Strong institutional brokerage volumes: </w:t>
      </w:r>
      <w:r>
        <w:rPr>
          <w:rFonts w:ascii="Calibri" w:hAnsi="Calibri"/>
          <w:color w:val="525866"/>
          <w:sz w:val="22"/>
        </w:rPr>
        <w:t>StoneX reported Q2 2026 results (fiscal Q2 ending March 2026) with strong institutional brokerage and clearing activity, reflecting elevated client engagement across equities, futures, and FX — asset classes where IBKR also competes.</w:t>
      </w:r>
    </w:p>
    <w:p>
      <w:pPr>
        <w:pStyle w:val="ListBullet"/>
        <w:ind w:left="360" w:hanging="360"/>
      </w:pPr>
      <w:r>
        <w:rPr>
          <w:rFonts w:ascii="Calibri" w:hAnsi="Calibri"/>
          <w:b/>
          <w:color w:val="525866"/>
          <w:sz w:val="22"/>
        </w:rPr>
        <w:t xml:space="preserve">Global market access demand: </w:t>
      </w:r>
      <w:r>
        <w:rPr>
          <w:rFonts w:ascii="Calibri" w:hAnsi="Calibri"/>
          <w:color w:val="525866"/>
          <w:sz w:val="22"/>
        </w:rPr>
        <w:t>StoneX’s commentary on global market access demand and cross-border trading activity is consistent with IBKR’s international expansion narrative and its multi-currency, multi-asset platform positioning.</w:t>
      </w:r>
    </w:p>
    <w:p>
      <w:pPr>
        <w:pStyle w:val="Heading3"/>
      </w:pPr>
      <w:r>
        <w:rPr>
          <w:rFonts w:ascii="Calibri" w:hAnsi="Calibri"/>
          <w:b/>
          <w:color w:val="3B4259"/>
          <w:sz w:val="24"/>
        </w:rPr>
        <w:t>Charles Schwab (SCHW) — Institutional Investor Day (May 14, 2026) | Q2 2026 Forward Commentary</w:t>
      </w:r>
    </w:p>
    <w:p>
      <w:r>
        <w:rPr>
          <w:rFonts w:ascii="Calibri" w:hAnsi="Calibri"/>
          <w:b/>
          <w:color w:val="525866"/>
          <w:sz w:val="22"/>
        </w:rPr>
        <w:t xml:space="preserve">Read-Through: </w:t>
      </w:r>
      <w:r>
        <w:rPr>
          <w:rFonts w:ascii="Calibri" w:hAnsi="Calibri"/>
          <w:b/>
          <w:color w:val="002FA7"/>
          <w:sz w:val="22"/>
        </w:rPr>
        <w:t>Mixed — Positive on NII Outlook, Competitive Pressure on Cash Rates</w:t>
      </w:r>
    </w:p>
    <w:p>
      <w:pPr>
        <w:pStyle w:val="ListBullet"/>
        <w:ind w:left="360" w:hanging="360"/>
      </w:pPr>
      <w:r>
        <w:rPr>
          <w:rFonts w:ascii="Calibri" w:hAnsi="Calibri"/>
          <w:b/>
          <w:color w:val="525866"/>
          <w:sz w:val="22"/>
        </w:rPr>
        <w:t xml:space="preserve">NII outlook constructive: </w:t>
      </w:r>
      <w:r>
        <w:rPr>
          <w:rFonts w:ascii="Calibri" w:hAnsi="Calibri"/>
          <w:color w:val="525866"/>
          <w:sz w:val="22"/>
        </w:rPr>
        <w:t>Schwab’s Investor Day provided forward-looking commentary on net interest income, with management expressing confidence in NII recovery as client cash sorting stabilizes and interest-earning assets grow — a broadly positive read-through for IBKR’s own NII trajectory.</w:t>
      </w:r>
    </w:p>
    <w:p>
      <w:pPr>
        <w:pStyle w:val="ListBullet"/>
        <w:ind w:left="360" w:hanging="360"/>
      </w:pPr>
      <w:r>
        <w:rPr>
          <w:rFonts w:ascii="Calibri" w:hAnsi="Calibri"/>
          <w:b/>
          <w:color w:val="525866"/>
          <w:sz w:val="22"/>
        </w:rPr>
        <w:t xml:space="preserve">Cash optimization competitive dynamics: </w:t>
      </w:r>
      <w:r>
        <w:rPr>
          <w:rFonts w:ascii="Calibri" w:hAnsi="Calibri"/>
          <w:color w:val="525866"/>
          <w:sz w:val="22"/>
        </w:rPr>
        <w:t>Schwab’s discussion of AI-enabled cash optimization tools (flagged by IBKR management as a potential competitive threat) suggests the industry is moving toward paying clients more on uninvested cash — IBKR already pays near-market rates, so this is a relative competitive advantage rather than a headwind.</w:t>
      </w:r>
    </w:p>
    <w:p>
      <w:pPr>
        <w:pStyle w:val="ListBullet"/>
        <w:ind w:left="360" w:hanging="360"/>
      </w:pPr>
      <w:r>
        <w:rPr>
          <w:rFonts w:ascii="Calibri" w:hAnsi="Calibri"/>
          <w:b/>
          <w:color w:val="525866"/>
          <w:sz w:val="22"/>
        </w:rPr>
        <w:t xml:space="preserve">Retail investor engagement: </w:t>
      </w:r>
      <w:r>
        <w:rPr>
          <w:rFonts w:ascii="Calibri" w:hAnsi="Calibri"/>
          <w:color w:val="525866"/>
          <w:sz w:val="22"/>
        </w:rPr>
        <w:t>Schwab’s commentary on continued retail investor engagement and new account openings is consistent with IBKR’s own account growth narrative heading into Q2 2026.</w:t>
      </w:r>
    </w:p>
    <w:p>
      <w:pPr>
        <w:pStyle w:val="Heading3"/>
      </w:pPr>
      <w:r>
        <w:rPr>
          <w:rFonts w:ascii="Calibri" w:hAnsi="Calibri"/>
          <w:b/>
          <w:color w:val="3B4259"/>
          <w:sz w:val="24"/>
        </w:rPr>
        <w:t>Morgan Stanley (MS) — Q2 2026 Earnings (Jul 15, 2026) | Reporting Q2 2026 Results</w:t>
      </w:r>
    </w:p>
    <w:p>
      <w:r>
        <w:rPr>
          <w:rFonts w:ascii="Calibri" w:hAnsi="Calibri"/>
          <w:b/>
          <w:color w:val="525866"/>
          <w:sz w:val="22"/>
        </w:rPr>
        <w:t xml:space="preserve">Read-Through: </w:t>
      </w:r>
      <w:r>
        <w:rPr>
          <w:rFonts w:ascii="Calibri" w:hAnsi="Calibri"/>
          <w:b/>
          <w:color w:val="30A46C"/>
          <w:sz w:val="22"/>
        </w:rPr>
        <w:t>Positive for IBKR Institutional Trading and Wealth Management Flows</w:t>
      </w:r>
    </w:p>
    <w:p>
      <w:pPr>
        <w:pStyle w:val="ListBullet"/>
        <w:ind w:left="360" w:hanging="360"/>
      </w:pPr>
      <w:r>
        <w:rPr>
          <w:rFonts w:ascii="Calibri" w:hAnsi="Calibri"/>
          <w:b/>
          <w:color w:val="525866"/>
          <w:sz w:val="22"/>
        </w:rPr>
        <w:t xml:space="preserve">Equities trading revenues strong: </w:t>
      </w:r>
      <w:r>
        <w:rPr>
          <w:rFonts w:ascii="Calibri" w:hAnsi="Calibri"/>
          <w:color w:val="525866"/>
          <w:sz w:val="22"/>
        </w:rPr>
        <w:t>Morgan Stanley reported strong Q2 2026 equities trading revenues, driven by elevated client activity and market volatility — a direct positive read-through to IBKR’s institutional and sophisticated retail trading volumes.</w:t>
      </w:r>
    </w:p>
    <w:p>
      <w:pPr>
        <w:pStyle w:val="ListBullet"/>
        <w:ind w:left="360" w:hanging="360"/>
      </w:pPr>
      <w:r>
        <w:rPr>
          <w:rFonts w:ascii="Calibri" w:hAnsi="Calibri"/>
          <w:b/>
          <w:color w:val="525866"/>
          <w:sz w:val="22"/>
        </w:rPr>
        <w:t xml:space="preserve">Wealth management flows robust: </w:t>
      </w:r>
      <w:r>
        <w:rPr>
          <w:rFonts w:ascii="Calibri" w:hAnsi="Calibri"/>
          <w:color w:val="525866"/>
          <w:sz w:val="22"/>
        </w:rPr>
        <w:t>MS reported continued strong net new asset flows into wealth management, consistent with the broader trend of retail and HNW investors increasing market participation — supportive of IBKR’s customer equity and account growth metrics.</w:t>
      </w:r>
    </w:p>
    <w:p>
      <w:pPr>
        <w:pStyle w:val="ListBullet"/>
        <w:ind w:left="360" w:hanging="360"/>
      </w:pPr>
      <w:r>
        <w:rPr>
          <w:rFonts w:ascii="Calibri" w:hAnsi="Calibri"/>
          <w:b/>
          <w:color w:val="525866"/>
          <w:sz w:val="22"/>
        </w:rPr>
        <w:t xml:space="preserve">Fixed income and macro trading: </w:t>
      </w:r>
      <w:r>
        <w:rPr>
          <w:rFonts w:ascii="Calibri" w:hAnsi="Calibri"/>
          <w:color w:val="525866"/>
          <w:sz w:val="22"/>
        </w:rPr>
        <w:t>Strong fixed income and macro trading at MS suggests elevated cross-asset volatility and client hedging activity in Q2 — a positive for IBKR’s multi-asset DART and commission lines.</w:t>
      </w:r>
    </w:p>
    <w:p>
      <w:pPr>
        <w:pStyle w:val="Heading3"/>
      </w:pPr>
      <w:r>
        <w:rPr>
          <w:rFonts w:ascii="Calibri" w:hAnsi="Calibri"/>
          <w:b/>
          <w:color w:val="3B4259"/>
          <w:sz w:val="24"/>
        </w:rPr>
        <w:t>Goldman Sachs (GS) — Q2 2026 Earnings (Jul 14, 2026) | Reporting Q2 2026 Results</w:t>
      </w:r>
    </w:p>
    <w:p>
      <w:r>
        <w:rPr>
          <w:rFonts w:ascii="Calibri" w:hAnsi="Calibri"/>
          <w:b/>
          <w:color w:val="525866"/>
          <w:sz w:val="22"/>
        </w:rPr>
        <w:t xml:space="preserve">Read-Through: </w:t>
      </w:r>
      <w:r>
        <w:rPr>
          <w:rFonts w:ascii="Calibri" w:hAnsi="Calibri"/>
          <w:b/>
          <w:color w:val="30A46C"/>
          <w:sz w:val="22"/>
        </w:rPr>
        <w:t>Positive for IBKR Trading Volumes and Market Activity</w:t>
      </w:r>
    </w:p>
    <w:p>
      <w:pPr>
        <w:pStyle w:val="ListBullet"/>
        <w:ind w:left="360" w:hanging="360"/>
      </w:pPr>
      <w:r>
        <w:rPr>
          <w:rFonts w:ascii="Calibri" w:hAnsi="Calibri"/>
          <w:b/>
          <w:color w:val="525866"/>
          <w:sz w:val="22"/>
        </w:rPr>
        <w:t xml:space="preserve">Equities and FICC trading strong: </w:t>
      </w:r>
      <w:r>
        <w:rPr>
          <w:rFonts w:ascii="Calibri" w:hAnsi="Calibri"/>
          <w:color w:val="525866"/>
          <w:sz w:val="22"/>
        </w:rPr>
        <w:t>Goldman Sachs reported strong Q2 2026 trading revenues across equities and FICC, reflecting elevated client activity and market volatility — consistent with the trading environment that drives IBKR’s DART and commission lines.</w:t>
      </w:r>
    </w:p>
    <w:p>
      <w:pPr>
        <w:pStyle w:val="ListBullet"/>
        <w:ind w:left="360" w:hanging="360"/>
      </w:pPr>
      <w:r>
        <w:rPr>
          <w:rFonts w:ascii="Calibri" w:hAnsi="Calibri"/>
          <w:b/>
          <w:color w:val="525866"/>
          <w:sz w:val="22"/>
        </w:rPr>
        <w:t xml:space="preserve">Market volatility a tailwind: </w:t>
      </w:r>
      <w:r>
        <w:rPr>
          <w:rFonts w:ascii="Calibri" w:hAnsi="Calibri"/>
          <w:color w:val="525866"/>
          <w:sz w:val="22"/>
        </w:rPr>
        <w:t>GS commentary on elevated market volatility and client hedging demand in Q2 2026 is a direct positive read-through to IBKR’s trading volumes, as volatility historically drives DART outperformance vs. consensus.</w:t>
      </w:r>
    </w:p>
    <w:p>
      <w:pPr>
        <w:pStyle w:val="Heading3"/>
      </w:pPr>
      <w:r>
        <w:rPr>
          <w:rFonts w:ascii="Calibri" w:hAnsi="Calibri"/>
          <w:b/>
          <w:color w:val="3B4259"/>
          <w:sz w:val="24"/>
        </w:rPr>
        <w:t>TradeWeb (TW) — Q1 2026 Earnings (Apr 29, 2026) | Q2 2026 Forward Commentary</w:t>
      </w:r>
    </w:p>
    <w:p>
      <w:r>
        <w:rPr>
          <w:rFonts w:ascii="Calibri" w:hAnsi="Calibri"/>
          <w:b/>
          <w:color w:val="525866"/>
          <w:sz w:val="22"/>
        </w:rPr>
        <w:t xml:space="preserve">Read-Through: </w:t>
      </w:r>
      <w:r>
        <w:rPr>
          <w:rFonts w:ascii="Calibri" w:hAnsi="Calibri"/>
          <w:b/>
          <w:color w:val="30A46C"/>
          <w:sz w:val="22"/>
        </w:rPr>
        <w:t>Positive for IBKR Fixed Income and Multi-Asset Trading</w:t>
      </w:r>
    </w:p>
    <w:p>
      <w:pPr>
        <w:pStyle w:val="ListBullet"/>
        <w:ind w:left="360" w:hanging="360"/>
      </w:pPr>
      <w:r>
        <w:rPr>
          <w:rFonts w:ascii="Calibri" w:hAnsi="Calibri"/>
          <w:b/>
          <w:color w:val="525866"/>
          <w:sz w:val="22"/>
        </w:rPr>
        <w:t xml:space="preserve">Fixed income electronic trading volumes elevated: </w:t>
      </w:r>
      <w:r>
        <w:rPr>
          <w:rFonts w:ascii="Calibri" w:hAnsi="Calibri"/>
          <w:color w:val="525866"/>
          <w:sz w:val="22"/>
        </w:rPr>
        <w:t>TradeWeb reported strong Q1 2026 volumes across rates, credit, and money markets, with management commentary pointing to continued strong institutional demand for electronic fixed income trading — a positive read-through to IBKR’s bond and rates trading activity.</w:t>
      </w:r>
    </w:p>
    <w:p>
      <w:pPr>
        <w:pStyle w:val="ListBullet"/>
        <w:ind w:left="360" w:hanging="360"/>
      </w:pPr>
      <w:r>
        <w:rPr>
          <w:rFonts w:ascii="Calibri" w:hAnsi="Calibri"/>
          <w:b/>
          <w:color w:val="525866"/>
          <w:sz w:val="22"/>
        </w:rPr>
        <w:t xml:space="preserve">Retail fixed income participation growing: </w:t>
      </w:r>
      <w:r>
        <w:rPr>
          <w:rFonts w:ascii="Calibri" w:hAnsi="Calibri"/>
          <w:color w:val="525866"/>
          <w:sz w:val="22"/>
        </w:rPr>
        <w:t>TradeWeb’s commentary on growing retail participation in fixed income markets is consistent with IBKR’s own expansion of retail bond trading capabilities and supports the broader account engagement narrative.</w:t>
      </w:r>
    </w:p>
    <w:p>
      <w:r>
        <w:rPr>
          <w:rFonts w:ascii="Calibri" w:hAnsi="Calibri"/>
          <w:b/>
          <w:color w:val="525866"/>
          <w:sz w:val="22"/>
        </w:rPr>
        <w:t xml:space="preserve">Overall Peer Read-Through Summary: </w:t>
      </w:r>
      <w:r>
        <w:rPr>
          <w:rFonts w:ascii="Calibri" w:hAnsi="Calibri"/>
          <w:color w:val="525866"/>
          <w:sz w:val="22"/>
        </w:rPr>
        <w:t>The weight of peer evidence from Q2 2026 reporters (MS, GS) and Q1 2026 calls with Q2 forward commentary (HOOD, VIRT, SNEX, SCHW, TW) is uniformly constructive for IBKR’s commission and DART lines. The trading environment in Q2 2026 was characterized by elevated volatility, record retail options volumes, and strong institutional activity — all of which are tailwinds for IBKR. The primary uncertainty remains NII, where no peer provides a direct read-through given IBKR’s unique balance sheet structure.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Post-Q1 developments are net positive — the SEC’s PDT rule elimination is a structural tailwind for IBKR’s retail trading volumes, while prediction markets and crypto expansion continue to build optionality; no material negative news since Q1 earnings.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Relevance to IBKR</w:t>
            </w:r>
          </w:p>
        </w:tc>
        <w:tc>
          <w:tcPr>
            <w:tcW w:type="dxa" w:w="2160"/>
            <w:shd w:val="clear" w:color="auto" w:fill="3B4259"/>
          </w:tcPr>
          <w:p>
            <w:r>
              <w:rPr>
                <w:rFonts w:ascii="Calibri" w:hAnsi="Calibri"/>
                <w:b/>
                <w:color w:val="FFFFFF"/>
                <w:sz w:val="22"/>
              </w:rPr>
              <w:t>Impact</w:t>
            </w:r>
          </w:p>
        </w:tc>
      </w:tr>
      <w:tr>
        <w:tc>
          <w:tcPr>
            <w:tcW w:type="dxa" w:w="2160"/>
          </w:tcPr>
          <w:p>
            <w:r>
              <w:rPr>
                <w:rFonts w:ascii="Calibri" w:hAnsi="Calibri"/>
                <w:sz w:val="22"/>
              </w:rPr>
              <w:t>Apr 21, 2026</w:t>
            </w:r>
          </w:p>
        </w:tc>
        <w:tc>
          <w:tcPr>
            <w:tcW w:type="dxa" w:w="2160"/>
          </w:tcPr>
          <w:p>
            <w:r>
              <w:rPr>
                <w:rFonts w:ascii="Calibri" w:hAnsi="Calibri"/>
                <w:sz w:val="22"/>
              </w:rPr>
              <w:t>Q1 2026 Earnings: Record commissions ($613M), 6th consecutive quarter &gt;70% pre-tax margin, dividend raised, Election Board tool launched for ForecastEx</w:t>
            </w:r>
          </w:p>
        </w:tc>
        <w:tc>
          <w:tcPr>
            <w:tcW w:type="dxa" w:w="2160"/>
          </w:tcPr>
          <w:p>
            <w:r>
              <w:rPr>
                <w:rFonts w:ascii="Calibri" w:hAnsi="Calibri"/>
                <w:sz w:val="22"/>
              </w:rPr>
              <w:t>Baseline for Q2 setup; record commissions set a high bar for Q2 consensus</w:t>
            </w:r>
          </w:p>
        </w:tc>
        <w:tc>
          <w:tcPr>
            <w:tcW w:type="dxa" w:w="2160"/>
          </w:tcPr>
          <w:p>
            <w:r>
              <w:rPr>
                <w:rFonts w:ascii="Calibri" w:hAnsi="Calibri"/>
                <w:b/>
                <w:color w:val="30A46C"/>
                <w:sz w:val="22"/>
              </w:rPr>
              <w:t>Positive</w:t>
            </w:r>
          </w:p>
        </w:tc>
      </w:tr>
      <w:tr>
        <w:tc>
          <w:tcPr>
            <w:tcW w:type="dxa" w:w="2160"/>
          </w:tcPr>
          <w:p>
            <w:r>
              <w:rPr>
                <w:rFonts w:ascii="Calibri" w:hAnsi="Calibri"/>
                <w:sz w:val="22"/>
              </w:rPr>
              <w:t>Apr 21, 2026</w:t>
            </w:r>
          </w:p>
        </w:tc>
        <w:tc>
          <w:tcPr>
            <w:tcW w:type="dxa" w:w="2160"/>
          </w:tcPr>
          <w:p>
            <w:r>
              <w:rPr>
                <w:rFonts w:ascii="Calibri" w:hAnsi="Calibri"/>
                <w:sz w:val="22"/>
              </w:rPr>
              <w:t>SEC eliminates Pattern Day Trader (PDT) rule, replacing with risk-based intraday margin system</w:t>
            </w:r>
          </w:p>
        </w:tc>
        <w:tc>
          <w:tcPr>
            <w:tcW w:type="dxa" w:w="2160"/>
          </w:tcPr>
          <w:p>
            <w:r>
              <w:rPr>
                <w:rFonts w:ascii="Calibri" w:hAnsi="Calibri"/>
                <w:sz w:val="22"/>
              </w:rPr>
              <w:t>Direct structural tailwind: IBKR’s predominantly individual account base (many smaller accounts) can now trade more frequently; management called it “an opportunity”</w:t>
            </w:r>
          </w:p>
        </w:tc>
        <w:tc>
          <w:tcPr>
            <w:tcW w:type="dxa" w:w="2160"/>
          </w:tcPr>
          <w:p>
            <w:r>
              <w:rPr>
                <w:rFonts w:ascii="Calibri" w:hAnsi="Calibri"/>
                <w:b/>
                <w:color w:val="30A46C"/>
                <w:sz w:val="22"/>
              </w:rPr>
              <w:t>Positive</w:t>
            </w:r>
          </w:p>
        </w:tc>
      </w:tr>
      <w:tr>
        <w:tc>
          <w:tcPr>
            <w:tcW w:type="dxa" w:w="2160"/>
          </w:tcPr>
          <w:p>
            <w:r>
              <w:rPr>
                <w:rFonts w:ascii="Calibri" w:hAnsi="Calibri"/>
                <w:sz w:val="22"/>
              </w:rPr>
              <w:t>Apr 29, 2026</w:t>
            </w:r>
          </w:p>
        </w:tc>
        <w:tc>
          <w:tcPr>
            <w:tcW w:type="dxa" w:w="2160"/>
          </w:tcPr>
          <w:p>
            <w:r>
              <w:rPr>
                <w:rFonts w:ascii="Calibri" w:hAnsi="Calibri"/>
                <w:sz w:val="22"/>
              </w:rPr>
              <w:t>IBKR Shareholders approve Board and extend Stock Plan through 2037 (8-K filing)</w:t>
            </w:r>
          </w:p>
        </w:tc>
        <w:tc>
          <w:tcPr>
            <w:tcW w:type="dxa" w:w="2160"/>
          </w:tcPr>
          <w:p>
            <w:r>
              <w:rPr>
                <w:rFonts w:ascii="Calibri" w:hAnsi="Calibri"/>
                <w:sz w:val="22"/>
              </w:rPr>
              <w:t>Routine governance; no material financial impact</w:t>
            </w:r>
          </w:p>
        </w:tc>
        <w:tc>
          <w:tcPr>
            <w:tcW w:type="dxa" w:w="2160"/>
          </w:tcPr>
          <w:p>
            <w:r>
              <w:rPr>
                <w:rFonts w:ascii="Calibri" w:hAnsi="Calibri"/>
                <w:sz w:val="22"/>
              </w:rPr>
              <w:t>Neutral</w:t>
            </w:r>
          </w:p>
        </w:tc>
      </w:tr>
      <w:tr>
        <w:tc>
          <w:tcPr>
            <w:tcW w:type="dxa" w:w="2160"/>
          </w:tcPr>
          <w:p>
            <w:r>
              <w:rPr>
                <w:rFonts w:ascii="Calibri" w:hAnsi="Calibri"/>
                <w:sz w:val="22"/>
              </w:rPr>
              <w:t>May 2026</w:t>
            </w:r>
          </w:p>
        </w:tc>
        <w:tc>
          <w:tcPr>
            <w:tcW w:type="dxa" w:w="2160"/>
          </w:tcPr>
          <w:p>
            <w:r>
              <w:rPr>
                <w:rFonts w:ascii="Calibri" w:hAnsi="Calibri"/>
                <w:sz w:val="22"/>
              </w:rPr>
              <w:t>Crypto expansion: EEA soft launch underway, crypto transfer-in live, Coinbase Derivatives Exchange access added (nano-sized and perpetual futures)</w:t>
            </w:r>
          </w:p>
        </w:tc>
        <w:tc>
          <w:tcPr>
            <w:tcW w:type="dxa" w:w="2160"/>
          </w:tcPr>
          <w:p>
            <w:r>
              <w:rPr>
                <w:rFonts w:ascii="Calibri" w:hAnsi="Calibri"/>
                <w:sz w:val="22"/>
              </w:rPr>
              <w:t>Expands addressable market for crypto trading; staking via Zero Hash still in development</w:t>
            </w:r>
          </w:p>
        </w:tc>
        <w:tc>
          <w:tcPr>
            <w:tcW w:type="dxa" w:w="2160"/>
          </w:tcPr>
          <w:p>
            <w:r>
              <w:rPr>
                <w:rFonts w:ascii="Calibri" w:hAnsi="Calibri"/>
                <w:b/>
                <w:color w:val="30A46C"/>
                <w:sz w:val="22"/>
              </w:rPr>
              <w:t>Positive</w:t>
            </w:r>
          </w:p>
        </w:tc>
      </w:tr>
      <w:tr>
        <w:tc>
          <w:tcPr>
            <w:tcW w:type="dxa" w:w="2160"/>
          </w:tcPr>
          <w:p>
            <w:r>
              <w:rPr>
                <w:rFonts w:ascii="Calibri" w:hAnsi="Calibri"/>
                <w:sz w:val="22"/>
              </w:rPr>
              <w:t>Q2 2026</w:t>
            </w:r>
          </w:p>
        </w:tc>
        <w:tc>
          <w:tcPr>
            <w:tcW w:type="dxa" w:w="2160"/>
          </w:tcPr>
          <w:p>
            <w:r>
              <w:rPr>
                <w:rFonts w:ascii="Calibri" w:hAnsi="Calibri"/>
                <w:sz w:val="22"/>
              </w:rPr>
              <w:t>ForecastEx Election Board tool launched ahead of 2026 U.S. midterm elections; institutional inquiries into prediction markets increasing</w:t>
            </w:r>
          </w:p>
        </w:tc>
        <w:tc>
          <w:tcPr>
            <w:tcW w:type="dxa" w:w="2160"/>
          </w:tcPr>
          <w:p>
            <w:r>
              <w:rPr>
                <w:rFonts w:ascii="Calibri" w:hAnsi="Calibri"/>
                <w:sz w:val="22"/>
              </w:rPr>
              <w:t>Prediction markets moving from experimental to strategic revenue contributor; institutional adoption accelerating</w:t>
            </w:r>
          </w:p>
        </w:tc>
        <w:tc>
          <w:tcPr>
            <w:tcW w:type="dxa" w:w="2160"/>
          </w:tcPr>
          <w:p>
            <w:r>
              <w:rPr>
                <w:rFonts w:ascii="Calibri" w:hAnsi="Calibri"/>
                <w:b/>
                <w:color w:val="30A46C"/>
                <w:sz w:val="22"/>
              </w:rPr>
              <w:t>Positive</w:t>
            </w:r>
          </w:p>
        </w:tc>
      </w:tr>
      <w:tr>
        <w:tc>
          <w:tcPr>
            <w:tcW w:type="dxa" w:w="2160"/>
          </w:tcPr>
          <w:p>
            <w:r>
              <w:rPr>
                <w:rFonts w:ascii="Calibri" w:hAnsi="Calibri"/>
                <w:sz w:val="22"/>
              </w:rPr>
              <w:t>Jun 30, 2026</w:t>
            </w:r>
          </w:p>
        </w:tc>
        <w:tc>
          <w:tcPr>
            <w:tcW w:type="dxa" w:w="2160"/>
          </w:tcPr>
          <w:p>
            <w:r>
              <w:rPr>
                <w:rFonts w:ascii="Calibri" w:hAnsi="Calibri"/>
                <w:sz w:val="22"/>
              </w:rPr>
              <w:t>IBKR announces Q2 2026 earnings conference call scheduled for July 21, 2026 at 4:30 PM ET</w:t>
            </w:r>
          </w:p>
        </w:tc>
        <w:tc>
          <w:tcPr>
            <w:tcW w:type="dxa" w:w="2160"/>
          </w:tcPr>
          <w:p>
            <w:r>
              <w:rPr>
                <w:rFonts w:ascii="Calibri" w:hAnsi="Calibri"/>
                <w:sz w:val="22"/>
              </w:rPr>
              <w:t>Confirms earnings date; no pre-announcement or guidance update</w:t>
            </w:r>
          </w:p>
        </w:tc>
        <w:tc>
          <w:tcPr>
            <w:tcW w:type="dxa" w:w="2160"/>
          </w:tcPr>
          <w:p>
            <w:r>
              <w:rPr>
                <w:rFonts w:ascii="Calibri" w:hAnsi="Calibri"/>
                <w:sz w:val="22"/>
              </w:rPr>
              <w:t>Neutral</w:t>
            </w:r>
          </w:p>
        </w:tc>
      </w:tr>
      <w:tr>
        <w:tc>
          <w:tcPr>
            <w:tcW w:type="dxa" w:w="2160"/>
          </w:tcPr>
          <w:p>
            <w:r>
              <w:rPr>
                <w:rFonts w:ascii="Calibri" w:hAnsi="Calibri"/>
                <w:sz w:val="22"/>
              </w:rPr>
              <w:t>Jul 2026</w:t>
            </w:r>
          </w:p>
        </w:tc>
        <w:tc>
          <w:tcPr>
            <w:tcW w:type="dxa" w:w="2160"/>
          </w:tcPr>
          <w:p>
            <w:r>
              <w:rPr>
                <w:rFonts w:ascii="Calibri" w:hAnsi="Calibri"/>
                <w:sz w:val="22"/>
              </w:rPr>
              <w:t>IBKR customer accounts grew 34% year-over-year (per headline data); stock hits recent high of $97.41 on Jul 15</w:t>
            </w:r>
          </w:p>
        </w:tc>
        <w:tc>
          <w:tcPr>
            <w:tcW w:type="dxa" w:w="2160"/>
          </w:tcPr>
          <w:p>
            <w:r>
              <w:rPr>
                <w:rFonts w:ascii="Calibri" w:hAnsi="Calibri"/>
                <w:sz w:val="22"/>
              </w:rPr>
              <w:t>Confirms account growth momentum heading into Q2 print; stock re-rating reflects market confidence</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limited and mixed — a director sold 26,000 shares shortly after Q1 earnings (not under a 10b5-1 plan), while another director has been making small systematic purchases under a pre-planned 10b5-1 program; no large open-market buys or sells from senior management.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Apr 29, 2026</w:t>
            </w:r>
          </w:p>
        </w:tc>
        <w:tc>
          <w:tcPr>
            <w:tcW w:type="dxa" w:w="1234"/>
          </w:tcPr>
          <w:p>
            <w:r>
              <w:rPr>
                <w:rFonts w:ascii="Calibri" w:hAnsi="Calibri"/>
                <w:sz w:val="22"/>
              </w:rPr>
              <w:t>Harris, Lawrence E.</w:t>
            </w:r>
          </w:p>
        </w:tc>
        <w:tc>
          <w:tcPr>
            <w:tcW w:type="dxa" w:w="1234"/>
          </w:tcPr>
          <w:p>
            <w:r>
              <w:rPr>
                <w:rFonts w:ascii="Calibri" w:hAnsi="Calibri"/>
                <w:sz w:val="22"/>
              </w:rPr>
              <w:t>Director</w:t>
            </w:r>
          </w:p>
        </w:tc>
        <w:tc>
          <w:tcPr>
            <w:tcW w:type="dxa" w:w="1234"/>
          </w:tcPr>
          <w:p>
            <w:r>
              <w:rPr>
                <w:rFonts w:ascii="Calibri" w:hAnsi="Calibri"/>
                <w:b/>
                <w:color w:val="E5484D"/>
                <w:sz w:val="22"/>
              </w:rPr>
              <w:t>Sale (Open Market)</w:t>
            </w:r>
          </w:p>
        </w:tc>
        <w:tc>
          <w:tcPr>
            <w:tcW w:type="dxa" w:w="1234"/>
          </w:tcPr>
          <w:p>
            <w:r>
              <w:rPr>
                <w:rFonts w:ascii="Calibri" w:hAnsi="Calibri"/>
                <w:sz w:val="22"/>
              </w:rPr>
              <w:t>26,000</w:t>
            </w:r>
          </w:p>
        </w:tc>
        <w:tc>
          <w:tcPr>
            <w:tcW w:type="dxa" w:w="1234"/>
          </w:tcPr>
          <w:p>
            <w:r>
              <w:rPr>
                <w:rFonts w:ascii="Calibri" w:hAnsi="Calibri"/>
                <w:sz w:val="22"/>
              </w:rPr>
              <w:t>No</w:t>
            </w:r>
          </w:p>
        </w:tc>
        <w:tc>
          <w:tcPr>
            <w:tcW w:type="dxa" w:w="1234"/>
          </w:tcPr>
          <w:p>
            <w:r>
              <w:rPr>
                <w:rFonts w:ascii="Calibri" w:hAnsi="Calibri"/>
                <w:sz w:val="22"/>
              </w:rPr>
              <w:t>173,482</w:t>
            </w:r>
          </w:p>
        </w:tc>
      </w:tr>
      <w:tr>
        <w:tc>
          <w:tcPr>
            <w:tcW w:type="dxa" w:w="1234"/>
          </w:tcPr>
          <w:p>
            <w:r>
              <w:rPr>
                <w:rFonts w:ascii="Calibri" w:hAnsi="Calibri"/>
                <w:sz w:val="22"/>
              </w:rPr>
              <w:t>May 4, 2026</w:t>
            </w:r>
          </w:p>
        </w:tc>
        <w:tc>
          <w:tcPr>
            <w:tcW w:type="dxa" w:w="1234"/>
          </w:tcPr>
          <w:p>
            <w:r>
              <w:rPr>
                <w:rFonts w:ascii="Calibri" w:hAnsi="Calibri"/>
                <w:sz w:val="22"/>
              </w:rPr>
              <w:t>Conkling, Lori A.</w:t>
            </w:r>
          </w:p>
        </w:tc>
        <w:tc>
          <w:tcPr>
            <w:tcW w:type="dxa" w:w="1234"/>
          </w:tcPr>
          <w:p>
            <w:r>
              <w:rPr>
                <w:rFonts w:ascii="Calibri" w:hAnsi="Calibri"/>
                <w:sz w:val="22"/>
              </w:rPr>
              <w:t>Director</w:t>
            </w:r>
          </w:p>
        </w:tc>
        <w:tc>
          <w:tcPr>
            <w:tcW w:type="dxa" w:w="1234"/>
          </w:tcPr>
          <w:p>
            <w:r>
              <w:rPr>
                <w:rFonts w:ascii="Calibri" w:hAnsi="Calibri"/>
                <w:b/>
                <w:color w:val="30A46C"/>
                <w:sz w:val="22"/>
              </w:rPr>
              <w:t>Purchase (Systematic)</w:t>
            </w:r>
          </w:p>
        </w:tc>
        <w:tc>
          <w:tcPr>
            <w:tcW w:type="dxa" w:w="1234"/>
          </w:tcPr>
          <w:p>
            <w:r>
              <w:rPr>
                <w:rFonts w:ascii="Calibri" w:hAnsi="Calibri"/>
                <w:sz w:val="22"/>
              </w:rPr>
              <w:t>25</w:t>
            </w:r>
          </w:p>
        </w:tc>
        <w:tc>
          <w:tcPr>
            <w:tcW w:type="dxa" w:w="1234"/>
          </w:tcPr>
          <w:p>
            <w:r>
              <w:rPr>
                <w:rFonts w:ascii="Calibri" w:hAnsi="Calibri"/>
                <w:sz w:val="22"/>
              </w:rPr>
              <w:t>Yes (10b5-1)</w:t>
            </w:r>
          </w:p>
        </w:tc>
        <w:tc>
          <w:tcPr>
            <w:tcW w:type="dxa" w:w="1234"/>
          </w:tcPr>
          <w:p>
            <w:r>
              <w:rPr>
                <w:rFonts w:ascii="Calibri" w:hAnsi="Calibri"/>
                <w:sz w:val="22"/>
              </w:rPr>
              <w:t>2,459</w:t>
            </w:r>
          </w:p>
        </w:tc>
      </w:tr>
      <w:tr>
        <w:tc>
          <w:tcPr>
            <w:tcW w:type="dxa" w:w="1234"/>
          </w:tcPr>
          <w:p>
            <w:r>
              <w:rPr>
                <w:rFonts w:ascii="Calibri" w:hAnsi="Calibri"/>
                <w:sz w:val="22"/>
              </w:rPr>
              <w:t>Jun 2, 2026</w:t>
            </w:r>
          </w:p>
        </w:tc>
        <w:tc>
          <w:tcPr>
            <w:tcW w:type="dxa" w:w="1234"/>
          </w:tcPr>
          <w:p>
            <w:r>
              <w:rPr>
                <w:rFonts w:ascii="Calibri" w:hAnsi="Calibri"/>
                <w:sz w:val="22"/>
              </w:rPr>
              <w:t>Conkling, Lori A.</w:t>
            </w:r>
          </w:p>
        </w:tc>
        <w:tc>
          <w:tcPr>
            <w:tcW w:type="dxa" w:w="1234"/>
          </w:tcPr>
          <w:p>
            <w:r>
              <w:rPr>
                <w:rFonts w:ascii="Calibri" w:hAnsi="Calibri"/>
                <w:sz w:val="22"/>
              </w:rPr>
              <w:t>Director</w:t>
            </w:r>
          </w:p>
        </w:tc>
        <w:tc>
          <w:tcPr>
            <w:tcW w:type="dxa" w:w="1234"/>
          </w:tcPr>
          <w:p>
            <w:r>
              <w:rPr>
                <w:rFonts w:ascii="Calibri" w:hAnsi="Calibri"/>
                <w:b/>
                <w:color w:val="30A46C"/>
                <w:sz w:val="22"/>
              </w:rPr>
              <w:t>Purchase (Systematic)</w:t>
            </w:r>
          </w:p>
        </w:tc>
        <w:tc>
          <w:tcPr>
            <w:tcW w:type="dxa" w:w="1234"/>
          </w:tcPr>
          <w:p>
            <w:r>
              <w:rPr>
                <w:rFonts w:ascii="Calibri" w:hAnsi="Calibri"/>
                <w:sz w:val="22"/>
              </w:rPr>
              <w:t>25</w:t>
            </w:r>
          </w:p>
        </w:tc>
        <w:tc>
          <w:tcPr>
            <w:tcW w:type="dxa" w:w="1234"/>
          </w:tcPr>
          <w:p>
            <w:r>
              <w:rPr>
                <w:rFonts w:ascii="Calibri" w:hAnsi="Calibri"/>
                <w:sz w:val="22"/>
              </w:rPr>
              <w:t>Yes (10b5-1)</w:t>
            </w:r>
          </w:p>
        </w:tc>
        <w:tc>
          <w:tcPr>
            <w:tcW w:type="dxa" w:w="1234"/>
          </w:tcPr>
          <w:p>
            <w:r>
              <w:rPr>
                <w:rFonts w:ascii="Calibri" w:hAnsi="Calibri"/>
                <w:sz w:val="22"/>
              </w:rPr>
              <w:t>2,484</w:t>
            </w:r>
          </w:p>
        </w:tc>
      </w:tr>
      <w:tr>
        <w:tc>
          <w:tcPr>
            <w:tcW w:type="dxa" w:w="1234"/>
          </w:tcPr>
          <w:p>
            <w:r>
              <w:rPr>
                <w:rFonts w:ascii="Calibri" w:hAnsi="Calibri"/>
                <w:sz w:val="22"/>
              </w:rPr>
              <w:t>Jul 1, 2026</w:t>
            </w:r>
          </w:p>
        </w:tc>
        <w:tc>
          <w:tcPr>
            <w:tcW w:type="dxa" w:w="1234"/>
          </w:tcPr>
          <w:p>
            <w:r>
              <w:rPr>
                <w:rFonts w:ascii="Calibri" w:hAnsi="Calibri"/>
                <w:sz w:val="22"/>
              </w:rPr>
              <w:t>Conkling, Lori A.</w:t>
            </w:r>
          </w:p>
        </w:tc>
        <w:tc>
          <w:tcPr>
            <w:tcW w:type="dxa" w:w="1234"/>
          </w:tcPr>
          <w:p>
            <w:r>
              <w:rPr>
                <w:rFonts w:ascii="Calibri" w:hAnsi="Calibri"/>
                <w:sz w:val="22"/>
              </w:rPr>
              <w:t>Director</w:t>
            </w:r>
          </w:p>
        </w:tc>
        <w:tc>
          <w:tcPr>
            <w:tcW w:type="dxa" w:w="1234"/>
          </w:tcPr>
          <w:p>
            <w:r>
              <w:rPr>
                <w:rFonts w:ascii="Calibri" w:hAnsi="Calibri"/>
                <w:b/>
                <w:color w:val="30A46C"/>
                <w:sz w:val="22"/>
              </w:rPr>
              <w:t>Purchase (Systematic)</w:t>
            </w:r>
          </w:p>
        </w:tc>
        <w:tc>
          <w:tcPr>
            <w:tcW w:type="dxa" w:w="1234"/>
          </w:tcPr>
          <w:p>
            <w:r>
              <w:rPr>
                <w:rFonts w:ascii="Calibri" w:hAnsi="Calibri"/>
                <w:sz w:val="22"/>
              </w:rPr>
              <w:t>25</w:t>
            </w:r>
          </w:p>
        </w:tc>
        <w:tc>
          <w:tcPr>
            <w:tcW w:type="dxa" w:w="1234"/>
          </w:tcPr>
          <w:p>
            <w:r>
              <w:rPr>
                <w:rFonts w:ascii="Calibri" w:hAnsi="Calibri"/>
                <w:sz w:val="22"/>
              </w:rPr>
              <w:t>Yes (10b5-1)</w:t>
            </w:r>
          </w:p>
        </w:tc>
        <w:tc>
          <w:tcPr>
            <w:tcW w:type="dxa" w:w="1234"/>
          </w:tcPr>
          <w:p>
            <w:r>
              <w:rPr>
                <w:rFonts w:ascii="Calibri" w:hAnsi="Calibri"/>
                <w:sz w:val="22"/>
              </w:rPr>
              <w:t>2,509</w:t>
            </w:r>
          </w:p>
        </w:tc>
      </w:tr>
    </w:tbl>
    <w:p>
      <w:r>
        <w:rPr>
          <w:rFonts w:ascii="Calibri" w:hAnsi="Calibri"/>
          <w:color w:val="525866"/>
          <w:sz w:val="22"/>
        </w:rPr>
        <w:t>The most notable transaction is Director Lawrence Harris’s open-market sale of 26,000 shares on April 28, 2026 — one week after Q1 earnings — which was not executed under a pre-planned 10b5-1 program. While a single director sale is not necessarily a bearish signal, the timing (immediately post-earnings at ~$78/share) and the discretionary nature of the trade are worth noting. Director Lori Conkling’s systematic monthly purchases of 25 shares under a 10b5-1 plan are routine and carry limited informational value. Notably, no purchases or sales have been filed by senior management (CEO Galik, Chairman Peterffy, or CFO Brody) during the Q2 2026 period.</w:t>
      </w:r>
    </w:p>
    <w:p>
      <w:r>
        <w:rPr>
          <w:rFonts w:ascii="Calibri" w:hAnsi="Calibri"/>
          <w:i/>
          <w:color w:val="525866"/>
          <w:sz w:val="22"/>
        </w:rPr>
        <w:t>Source: SEC Form 4 Filings / Insider Transaction Data.</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NII sensitivity to rates: </w:t>
      </w:r>
      <w:r>
        <w:rPr>
          <w:rFonts w:ascii="Calibri" w:hAnsi="Calibri"/>
          <w:color w:val="525866"/>
          <w:sz w:val="22"/>
        </w:rPr>
        <w:t>Each 25bps Fed rate cut reduces annual NII by ~$80M (USD) and ~$35M (non-USD). With the Fed on hold, the risk is asymmetric to the downside if any surprise cut occurs before or during Q2.</w:t>
      </w:r>
    </w:p>
    <w:p>
      <w:pPr>
        <w:pStyle w:val="ListBullet"/>
        <w:ind w:left="360" w:hanging="360"/>
      </w:pPr>
      <w:r>
        <w:rPr>
          <w:rFonts w:ascii="Calibri" w:hAnsi="Calibri"/>
          <w:b/>
          <w:color w:val="525866"/>
          <w:sz w:val="22"/>
        </w:rPr>
        <w:t xml:space="preserve">High bar from stock re-rating: </w:t>
      </w:r>
      <w:r>
        <w:rPr>
          <w:rFonts w:ascii="Calibri" w:hAnsi="Calibri"/>
          <w:color w:val="525866"/>
          <w:sz w:val="22"/>
        </w:rPr>
        <w:t>IBKR is up +13.7% since Q1 earnings, pricing in continued execution. Any miss on commissions, accounts, or NII could trigger a sharp reversal from elevated levels.</w:t>
      </w:r>
    </w:p>
    <w:p>
      <w:pPr>
        <w:pStyle w:val="ListBullet"/>
        <w:ind w:left="360" w:hanging="360"/>
      </w:pPr>
      <w:r>
        <w:rPr>
          <w:rFonts w:ascii="Calibri" w:hAnsi="Calibri"/>
          <w:b/>
          <w:color w:val="525866"/>
          <w:sz w:val="22"/>
        </w:rPr>
        <w:t xml:space="preserve">Commission per DART compression: </w:t>
      </w:r>
      <w:r>
        <w:rPr>
          <w:rFonts w:ascii="Calibri" w:hAnsi="Calibri"/>
          <w:color w:val="525866"/>
          <w:sz w:val="22"/>
        </w:rPr>
        <w:t>Higher DART volumes from more active (tiered-pricing) traders can compress commission per DART, as seen at Robinhood. IBKR’s pricing structure is different, but the dynamic is worth monitoring.</w:t>
      </w:r>
    </w:p>
    <w:p>
      <w:pPr>
        <w:pStyle w:val="ListBullet"/>
        <w:ind w:left="360" w:hanging="360"/>
      </w:pPr>
      <w:r>
        <w:rPr>
          <w:rFonts w:ascii="Calibri" w:hAnsi="Calibri"/>
          <w:b/>
          <w:color w:val="525866"/>
          <w:sz w:val="22"/>
        </w:rPr>
        <w:t xml:space="preserve">Prediction markets regulatory risk: </w:t>
      </w:r>
      <w:r>
        <w:rPr>
          <w:rFonts w:ascii="Calibri" w:hAnsi="Calibri"/>
          <w:color w:val="525866"/>
          <w:sz w:val="22"/>
        </w:rPr>
        <w:t>ForecastEx’s growth depends on regulatory clarity for prediction markets; any adverse ruling or restriction could slow institutional adoption.</w:t>
      </w:r>
    </w:p>
    <w:p>
      <w:pPr>
        <w:pStyle w:val="ListBullet"/>
        <w:ind w:left="360" w:hanging="360"/>
      </w:pPr>
      <w:r>
        <w:rPr>
          <w:rFonts w:ascii="Calibri" w:hAnsi="Calibri"/>
          <w:b/>
          <w:color w:val="525866"/>
          <w:sz w:val="22"/>
        </w:rPr>
        <w:t xml:space="preserve">Crypto volatility: </w:t>
      </w:r>
      <w:r>
        <w:rPr>
          <w:rFonts w:ascii="Calibri" w:hAnsi="Calibri"/>
          <w:color w:val="525866"/>
          <w:sz w:val="22"/>
        </w:rPr>
        <w:t>Crypto trading volumes are inherently volatile; a sharp decline in crypto activity could weigh on commission revenue, though crypto remains &lt;20% of revenue for most retail brokers.</w:t>
      </w:r>
    </w:p>
    <w:p>
      <w:pPr>
        <w:pStyle w:val="ListBullet"/>
        <w:ind w:left="360" w:hanging="360"/>
      </w:pPr>
      <w:r>
        <w:rPr>
          <w:rFonts w:ascii="Calibri" w:hAnsi="Calibri"/>
          <w:b/>
          <w:color w:val="525866"/>
          <w:sz w:val="22"/>
        </w:rPr>
        <w:t xml:space="preserve">Competitive pressure on cash rates: </w:t>
      </w:r>
      <w:r>
        <w:rPr>
          <w:rFonts w:ascii="Calibri" w:hAnsi="Calibri"/>
          <w:color w:val="525866"/>
          <w:sz w:val="22"/>
        </w:rPr>
        <w:t>If AI-enabled cash optimization tools force other brokers to pay higher rates on uninvested cash, IBKR’s competitive advantage in this area narrows, potentially increasing competition for client assets.</w:t>
      </w:r>
    </w:p>
    <w:p>
      <w:pPr>
        <w:pStyle w:val="ListBullet"/>
        <w:ind w:left="360" w:hanging="360"/>
      </w:pPr>
      <w:r>
        <w:rPr>
          <w:rFonts w:ascii="Calibri" w:hAnsi="Calibri"/>
          <w:b/>
          <w:color w:val="525866"/>
          <w:sz w:val="22"/>
        </w:rPr>
        <w:t xml:space="preserve">Valuation premium: </w:t>
      </w:r>
      <w:r>
        <w:rPr>
          <w:rFonts w:ascii="Calibri" w:hAnsi="Calibri"/>
          <w:color w:val="525866"/>
          <w:sz w:val="22"/>
        </w:rPr>
        <w:t>IBKR trades at a premium to both historical averages and peer group multiples; any growth disappointment could compress the multiple, amplifying the stock’s downside reaction.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