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Interactive Brokers Group (IBKR)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Interactive Brokers Group, Inc.</w:t>
            </w:r>
          </w:p>
        </w:tc>
      </w:tr>
      <w:tr>
        <w:tc>
          <w:tcPr>
            <w:tcW w:type="dxa" w:w="4320"/>
          </w:tcPr>
          <w:p>
            <w:r>
              <w:rPr>
                <w:rFonts w:ascii="Calibri" w:hAnsi="Calibri"/>
                <w:b/>
                <w:sz w:val="22"/>
              </w:rPr>
              <w:t>Ticker</w:t>
            </w:r>
          </w:p>
        </w:tc>
        <w:tc>
          <w:tcPr>
            <w:tcW w:type="dxa" w:w="4320"/>
          </w:tcPr>
          <w:p>
            <w:r>
              <w:rPr>
                <w:rFonts w:ascii="Calibri" w:hAnsi="Calibri"/>
                <w:sz w:val="22"/>
              </w:rPr>
              <w:t>IBKR</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4:30 PM ET</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Sector ETF Benchmark</w:t>
            </w:r>
          </w:p>
        </w:tc>
        <w:tc>
          <w:tcPr>
            <w:tcW w:type="dxa" w:w="4320"/>
          </w:tcPr>
          <w:p>
            <w:r>
              <w:rPr>
                <w:rFonts w:ascii="Calibri" w:hAnsi="Calibri"/>
                <w:sz w:val="22"/>
              </w:rPr>
              <w:t>XLF (Financial Select Sector SPDR)</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leans toward a beat on the key operating metrics — DARTs and account growth — with the primary swing factor being whether NII can sustain its upward revision trajectory against a still-uncertain rate backdrop.</w:t>
      </w:r>
    </w:p>
    <w:p>
      <w:r>
        <w:rPr>
          <w:rFonts w:ascii="Calibri" w:hAnsi="Calibri"/>
          <w:color w:val="525866"/>
          <w:sz w:val="22"/>
        </w:rPr>
        <w:t xml:space="preserve">Heading into Q2 2026, the bar for IBKR looks achievable but not trivial: consensus EPS has been revised up ~5% since the Q1 print (from $0.599 to $0.628), and the stock has rallied ~15% since last earnings, pricing in continued execution. </w:t>
      </w:r>
    </w:p>
    <w:p>
      <w:r>
        <w:rPr>
          <w:rFonts w:ascii="Calibri" w:hAnsi="Calibri"/>
          <w:color w:val="525866"/>
          <w:sz w:val="22"/>
        </w:rPr>
        <w:t xml:space="preserve">Management’s tone on the Q1 call was constructive across every major driver — account growth, DARTs, NII, and margin — with no formal guidance cuts and a dividend raise signaling confidence in the capital position. </w:t>
      </w:r>
    </w:p>
    <w:p>
      <w:r>
        <w:rPr>
          <w:rFonts w:ascii="Calibri" w:hAnsi="Calibri"/>
          <w:color w:val="525866"/>
          <w:sz w:val="22"/>
        </w:rPr>
        <w:t xml:space="preserve">Estimate revisions have moved steadily higher since the Q1 print, with DARTs consensus jumping from ~4.32M to ~4.67M and NII estimates rising to $975M, suggesting the Street is already embedding a strong quarter. </w:t>
      </w:r>
    </w:p>
    <w:p>
      <w:r>
        <w:rPr>
          <w:rFonts w:ascii="Calibri" w:hAnsi="Calibri"/>
          <w:color w:val="525866"/>
          <w:sz w:val="22"/>
        </w:rPr>
        <w:t xml:space="preserve">The stock trades at ~32.6x NTM P/E, a premium that leaves little room for disappointment; the multiple has expanded ~8.7% over the past year, meaning the stock’s 54% 12-month gain has been driven by both earnings growth and re-rating. </w:t>
      </w:r>
    </w:p>
    <w:p>
      <w:r>
        <w:rPr>
          <w:rFonts w:ascii="Calibri" w:hAnsi="Calibri"/>
          <w:color w:val="525866"/>
          <w:sz w:val="22"/>
        </w:rPr>
        <w:t xml:space="preserve">The key wildcard is the </w:t>
      </w:r>
      <w:r>
        <w:rPr>
          <w:rFonts w:ascii="Calibri" w:hAnsi="Calibri"/>
          <w:b/>
          <w:color w:val="525866"/>
          <w:sz w:val="22"/>
        </w:rPr>
        <w:t>Pattern Day Trader rule elimination on June 4</w:t>
      </w:r>
      <w:r>
        <w:rPr>
          <w:rFonts w:ascii="Calibri" w:hAnsi="Calibri"/>
          <w:color w:val="525866"/>
          <w:sz w:val="22"/>
        </w:rPr>
        <w:t xml:space="preserve"> — if management quantifies any early lift to retail trading frequency or account engagement, it could be a meaningful positive surprise for both DARTs and the longer-term growth narrative.</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reflects a strong quarter across all major KPIs, with DARTs and total accounts the biggest swing factors. NII is the metric most sensitive to any rate or balance-sheet surprise.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 (Prior Year)</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Guidance / Mgmt Commentary</w:t>
            </w:r>
          </w:p>
        </w:tc>
      </w:tr>
      <w:tr>
        <w:tc>
          <w:tcPr>
            <w:tcW w:type="dxa" w:w="1440"/>
          </w:tcPr>
          <w:p>
            <w:r>
              <w:rPr>
                <w:rFonts w:ascii="Calibri" w:hAnsi="Calibri"/>
                <w:sz w:val="22"/>
              </w:rPr>
              <w:t>Operating EPS (diluted)</w:t>
            </w:r>
          </w:p>
        </w:tc>
        <w:tc>
          <w:tcPr>
            <w:tcW w:type="dxa" w:w="1440"/>
          </w:tcPr>
          <w:p>
            <w:r>
              <w:rPr>
                <w:rFonts w:ascii="Calibri" w:hAnsi="Calibri"/>
                <w:sz w:val="22"/>
              </w:rPr>
              <w:t>$0.60</w:t>
            </w:r>
          </w:p>
        </w:tc>
        <w:tc>
          <w:tcPr>
            <w:tcW w:type="dxa" w:w="1440"/>
          </w:tcPr>
          <w:p>
            <w:r>
              <w:rPr>
                <w:rFonts w:ascii="Calibri" w:hAnsi="Calibri"/>
                <w:sz w:val="22"/>
              </w:rPr>
              <w:t>$0.51</w:t>
            </w:r>
          </w:p>
        </w:tc>
        <w:tc>
          <w:tcPr>
            <w:tcW w:type="dxa" w:w="1440"/>
          </w:tcPr>
          <w:p>
            <w:r>
              <w:rPr>
                <w:rFonts w:ascii="Calibri" w:hAnsi="Calibri"/>
                <w:sz w:val="22"/>
              </w:rPr>
              <w:t>$0.628</w:t>
            </w:r>
          </w:p>
        </w:tc>
        <w:tc>
          <w:tcPr>
            <w:tcW w:type="dxa" w:w="1440"/>
          </w:tcPr>
          <w:p>
            <w:r>
              <w:rPr>
                <w:rFonts w:ascii="Calibri" w:hAnsi="Calibri"/>
                <w:sz w:val="22"/>
              </w:rPr>
              <w:t>+23.1%</w:t>
            </w:r>
          </w:p>
        </w:tc>
        <w:tc>
          <w:tcPr>
            <w:tcW w:type="dxa" w:w="1440"/>
          </w:tcPr>
          <w:p>
            <w:r>
              <w:rPr>
                <w:rFonts w:ascii="Calibri" w:hAnsi="Calibri"/>
                <w:sz w:val="22"/>
              </w:rPr>
              <w:t>No formal guidance; NII sensitivity: −25bp Fed = −$80M annual NII</w:t>
            </w:r>
          </w:p>
        </w:tc>
      </w:tr>
      <w:tr>
        <w:tc>
          <w:tcPr>
            <w:tcW w:type="dxa" w:w="1440"/>
          </w:tcPr>
          <w:p>
            <w:r>
              <w:rPr>
                <w:rFonts w:ascii="Calibri" w:hAnsi="Calibri"/>
                <w:sz w:val="22"/>
              </w:rPr>
              <w:t>Total Net Revenue</w:t>
            </w:r>
          </w:p>
        </w:tc>
        <w:tc>
          <w:tcPr>
            <w:tcW w:type="dxa" w:w="1440"/>
          </w:tcPr>
          <w:p>
            <w:r>
              <w:rPr>
                <w:rFonts w:ascii="Calibri" w:hAnsi="Calibri"/>
                <w:sz w:val="22"/>
              </w:rPr>
              <w:t>$1,669M</w:t>
            </w:r>
          </w:p>
        </w:tc>
        <w:tc>
          <w:tcPr>
            <w:tcW w:type="dxa" w:w="1440"/>
          </w:tcPr>
          <w:p>
            <w:r>
              <w:rPr>
                <w:rFonts w:ascii="Calibri" w:hAnsi="Calibri"/>
                <w:sz w:val="22"/>
              </w:rPr>
              <w:t>$1,480M</w:t>
            </w:r>
          </w:p>
        </w:tc>
        <w:tc>
          <w:tcPr>
            <w:tcW w:type="dxa" w:w="1440"/>
          </w:tcPr>
          <w:p>
            <w:r>
              <w:rPr>
                <w:rFonts w:ascii="Calibri" w:hAnsi="Calibri"/>
                <w:sz w:val="22"/>
              </w:rPr>
              <w:t>$1,738M</w:t>
            </w:r>
          </w:p>
        </w:tc>
        <w:tc>
          <w:tcPr>
            <w:tcW w:type="dxa" w:w="1440"/>
          </w:tcPr>
          <w:p>
            <w:r>
              <w:rPr>
                <w:rFonts w:ascii="Calibri" w:hAnsi="Calibri"/>
                <w:sz w:val="22"/>
              </w:rPr>
              <w:t>+17.4%</w:t>
            </w:r>
          </w:p>
        </w:tc>
        <w:tc>
          <w:tcPr>
            <w:tcW w:type="dxa" w:w="1440"/>
          </w:tcPr>
          <w:p>
            <w:r>
              <w:rPr>
                <w:rFonts w:ascii="Calibri" w:hAnsi="Calibri"/>
                <w:sz w:val="22"/>
              </w:rPr>
              <w:t>No formal guidance; record commission revenue in Q1 a positive signal</w:t>
            </w:r>
          </w:p>
        </w:tc>
      </w:tr>
      <w:tr>
        <w:tc>
          <w:tcPr>
            <w:tcW w:type="dxa" w:w="1440"/>
          </w:tcPr>
          <w:p>
            <w:r>
              <w:rPr>
                <w:rFonts w:ascii="Calibri" w:hAnsi="Calibri"/>
                <w:sz w:val="22"/>
              </w:rPr>
              <w:t>Total Customer Accounts</w:t>
            </w:r>
          </w:p>
        </w:tc>
        <w:tc>
          <w:tcPr>
            <w:tcW w:type="dxa" w:w="1440"/>
          </w:tcPr>
          <w:p>
            <w:r>
              <w:rPr>
                <w:rFonts w:ascii="Calibri" w:hAnsi="Calibri"/>
                <w:sz w:val="22"/>
              </w:rPr>
              <w:t>4.754M</w:t>
            </w:r>
          </w:p>
        </w:tc>
        <w:tc>
          <w:tcPr>
            <w:tcW w:type="dxa" w:w="1440"/>
          </w:tcPr>
          <w:p>
            <w:r>
              <w:rPr>
                <w:rFonts w:ascii="Calibri" w:hAnsi="Calibri"/>
                <w:sz w:val="22"/>
              </w:rPr>
              <w:t>3.866M</w:t>
            </w:r>
          </w:p>
        </w:tc>
        <w:tc>
          <w:tcPr>
            <w:tcW w:type="dxa" w:w="1440"/>
          </w:tcPr>
          <w:p>
            <w:r>
              <w:rPr>
                <w:rFonts w:ascii="Calibri" w:hAnsi="Calibri"/>
                <w:sz w:val="22"/>
              </w:rPr>
              <w:t>5.126M</w:t>
            </w:r>
          </w:p>
        </w:tc>
        <w:tc>
          <w:tcPr>
            <w:tcW w:type="dxa" w:w="1440"/>
          </w:tcPr>
          <w:p>
            <w:r>
              <w:rPr>
                <w:rFonts w:ascii="Calibri" w:hAnsi="Calibri"/>
                <w:sz w:val="22"/>
              </w:rPr>
              <w:t>+32.6%</w:t>
            </w:r>
          </w:p>
        </w:tc>
        <w:tc>
          <w:tcPr>
            <w:tcW w:type="dxa" w:w="1440"/>
          </w:tcPr>
          <w:p>
            <w:r>
              <w:rPr>
                <w:rFonts w:ascii="Calibri" w:hAnsi="Calibri"/>
                <w:sz w:val="22"/>
              </w:rPr>
              <w:t>Mgmt: growth will “continue the way we have seen over the past several years”</w:t>
            </w:r>
          </w:p>
        </w:tc>
      </w:tr>
      <w:tr>
        <w:tc>
          <w:tcPr>
            <w:tcW w:type="dxa" w:w="1440"/>
          </w:tcPr>
          <w:p>
            <w:r>
              <w:rPr>
                <w:rFonts w:ascii="Calibri" w:hAnsi="Calibri"/>
                <w:sz w:val="22"/>
              </w:rPr>
              <w:t>Customer Equity</w:t>
            </w:r>
          </w:p>
        </w:tc>
        <w:tc>
          <w:tcPr>
            <w:tcW w:type="dxa" w:w="1440"/>
          </w:tcPr>
          <w:p>
            <w:r>
              <w:rPr>
                <w:rFonts w:ascii="Calibri" w:hAnsi="Calibri"/>
                <w:sz w:val="22"/>
              </w:rPr>
              <w:t>$789.4B</w:t>
            </w:r>
          </w:p>
        </w:tc>
        <w:tc>
          <w:tcPr>
            <w:tcW w:type="dxa" w:w="1440"/>
          </w:tcPr>
          <w:p>
            <w:r>
              <w:rPr>
                <w:rFonts w:ascii="Calibri" w:hAnsi="Calibri"/>
                <w:sz w:val="22"/>
              </w:rPr>
              <w:t>$664.6B</w:t>
            </w:r>
          </w:p>
        </w:tc>
        <w:tc>
          <w:tcPr>
            <w:tcW w:type="dxa" w:w="1440"/>
          </w:tcPr>
          <w:p>
            <w:r>
              <w:rPr>
                <w:rFonts w:ascii="Calibri" w:hAnsi="Calibri"/>
                <w:sz w:val="22"/>
              </w:rPr>
              <w:t>$887.5B</w:t>
            </w:r>
          </w:p>
        </w:tc>
        <w:tc>
          <w:tcPr>
            <w:tcW w:type="dxa" w:w="1440"/>
          </w:tcPr>
          <w:p>
            <w:r>
              <w:rPr>
                <w:rFonts w:ascii="Calibri" w:hAnsi="Calibri"/>
                <w:sz w:val="22"/>
              </w:rPr>
              <w:t>+33.5%</w:t>
            </w:r>
          </w:p>
        </w:tc>
        <w:tc>
          <w:tcPr>
            <w:tcW w:type="dxa" w:w="1440"/>
          </w:tcPr>
          <w:p>
            <w:r>
              <w:rPr>
                <w:rFonts w:ascii="Calibri" w:hAnsi="Calibri"/>
                <w:sz w:val="22"/>
              </w:rPr>
              <w:t>No formal guidance; continued account funding expected to offset market moves</w:t>
            </w:r>
          </w:p>
        </w:tc>
      </w:tr>
      <w:tr>
        <w:tc>
          <w:tcPr>
            <w:tcW w:type="dxa" w:w="1440"/>
          </w:tcPr>
          <w:p>
            <w:r>
              <w:rPr>
                <w:rFonts w:ascii="Calibri" w:hAnsi="Calibri"/>
                <w:sz w:val="22"/>
              </w:rPr>
              <w:t>Total Customer DARTs</w:t>
            </w:r>
          </w:p>
        </w:tc>
        <w:tc>
          <w:tcPr>
            <w:tcW w:type="dxa" w:w="1440"/>
          </w:tcPr>
          <w:p>
            <w:r>
              <w:rPr>
                <w:rFonts w:ascii="Calibri" w:hAnsi="Calibri"/>
                <w:sz w:val="22"/>
              </w:rPr>
              <w:t>4.368M</w:t>
            </w:r>
          </w:p>
        </w:tc>
        <w:tc>
          <w:tcPr>
            <w:tcW w:type="dxa" w:w="1440"/>
          </w:tcPr>
          <w:p>
            <w:r>
              <w:rPr>
                <w:rFonts w:ascii="Calibri" w:hAnsi="Calibri"/>
                <w:sz w:val="22"/>
              </w:rPr>
              <w:t>3.552M</w:t>
            </w:r>
          </w:p>
        </w:tc>
        <w:tc>
          <w:tcPr>
            <w:tcW w:type="dxa" w:w="1440"/>
          </w:tcPr>
          <w:p>
            <w:r>
              <w:rPr>
                <w:rFonts w:ascii="Calibri" w:hAnsi="Calibri"/>
                <w:sz w:val="22"/>
              </w:rPr>
              <w:t>4.666M</w:t>
            </w:r>
          </w:p>
        </w:tc>
        <w:tc>
          <w:tcPr>
            <w:tcW w:type="dxa" w:w="1440"/>
          </w:tcPr>
          <w:p>
            <w:r>
              <w:rPr>
                <w:rFonts w:ascii="Calibri" w:hAnsi="Calibri"/>
                <w:sz w:val="22"/>
              </w:rPr>
              <w:t>+31.4%</w:t>
            </w:r>
          </w:p>
        </w:tc>
        <w:tc>
          <w:tcPr>
            <w:tcW w:type="dxa" w:w="1440"/>
          </w:tcPr>
          <w:p>
            <w:r>
              <w:rPr>
                <w:rFonts w:ascii="Calibri" w:hAnsi="Calibri"/>
                <w:sz w:val="22"/>
              </w:rPr>
              <w:t>PDT rule elimination (June 4) expected to increase retail trading frequency</w:t>
            </w:r>
          </w:p>
        </w:tc>
      </w:tr>
      <w:tr>
        <w:tc>
          <w:tcPr>
            <w:tcW w:type="dxa" w:w="1440"/>
          </w:tcPr>
          <w:p>
            <w:r>
              <w:rPr>
                <w:rFonts w:ascii="Calibri" w:hAnsi="Calibri"/>
                <w:sz w:val="22"/>
              </w:rPr>
              <w:t>Net Interest Income</w:t>
            </w:r>
          </w:p>
        </w:tc>
        <w:tc>
          <w:tcPr>
            <w:tcW w:type="dxa" w:w="1440"/>
          </w:tcPr>
          <w:p>
            <w:r>
              <w:rPr>
                <w:rFonts w:ascii="Calibri" w:hAnsi="Calibri"/>
                <w:sz w:val="22"/>
              </w:rPr>
              <w:t>$904M</w:t>
            </w:r>
          </w:p>
        </w:tc>
        <w:tc>
          <w:tcPr>
            <w:tcW w:type="dxa" w:w="1440"/>
          </w:tcPr>
          <w:p>
            <w:r>
              <w:rPr>
                <w:rFonts w:ascii="Calibri" w:hAnsi="Calibri"/>
                <w:sz w:val="22"/>
              </w:rPr>
              <w:t>$860M</w:t>
            </w:r>
          </w:p>
        </w:tc>
        <w:tc>
          <w:tcPr>
            <w:tcW w:type="dxa" w:w="1440"/>
          </w:tcPr>
          <w:p>
            <w:r>
              <w:rPr>
                <w:rFonts w:ascii="Calibri" w:hAnsi="Calibri"/>
                <w:sz w:val="22"/>
              </w:rPr>
              <w:t>$975M</w:t>
            </w:r>
          </w:p>
        </w:tc>
        <w:tc>
          <w:tcPr>
            <w:tcW w:type="dxa" w:w="1440"/>
          </w:tcPr>
          <w:p>
            <w:r>
              <w:rPr>
                <w:rFonts w:ascii="Calibri" w:hAnsi="Calibri"/>
                <w:sz w:val="22"/>
              </w:rPr>
              <w:t>+13.4%</w:t>
            </w:r>
          </w:p>
        </w:tc>
        <w:tc>
          <w:tcPr>
            <w:tcW w:type="dxa" w:w="1440"/>
          </w:tcPr>
          <w:p>
            <w:r>
              <w:rPr>
                <w:rFonts w:ascii="Calibri" w:hAnsi="Calibri"/>
                <w:sz w:val="22"/>
              </w:rPr>
              <w:t>−25bp Fed = −$80M annual NII; balance sheet growth partially offsets rate cuts</w:t>
            </w:r>
          </w:p>
        </w:tc>
      </w:tr>
    </w:tbl>
    <w:p>
      <w:r>
        <w:rPr>
          <w:rFonts w:ascii="Calibri" w:hAnsi="Calibri"/>
          <w:color w:val="525866"/>
          <w:sz w:val="22"/>
        </w:rPr>
        <w:t>Sources: Visible Alpha Consensus and Actuals Data (Operating EPS, Total Net Revenue, Net Interest Income); Visible Alpha Consensus and Actuals Data (Total Accounts, Customer Equity, Total Customer DARTs). Q1 2026 actuals from IBKR Q1 2026 Earnings Release.</w:t>
      </w:r>
    </w:p>
    <w:p>
      <w:pPr>
        <w:pStyle w:val="Heading3"/>
      </w:pPr>
      <w:r>
        <w:rPr>
          <w:rFonts w:ascii="Calibri" w:hAnsi="Calibri"/>
          <w:b/>
          <w:color w:val="3B4259"/>
          <w:sz w:val="24"/>
        </w:rPr>
        <w:t>Table 2 — Beat / Miss History (Last 8 Quarters)</w:t>
      </w:r>
    </w:p>
    <w:p>
      <w:pPr>
        <w:pStyle w:val="Heading4"/>
      </w:pPr>
      <w:r>
        <w:rPr>
          <w:rFonts w:ascii="Calibri" w:hAnsi="Calibri"/>
          <w:b/>
          <w:color w:val="3B4259"/>
          <w:sz w:val="22"/>
        </w:rPr>
        <w:t>Operating EPS (Top KPI #1)</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$0.60</w:t>
            </w:r>
          </w:p>
        </w:tc>
        <w:tc>
          <w:tcPr>
            <w:tcW w:type="dxa" w:w="1728"/>
          </w:tcPr>
          <w:p>
            <w:r>
              <w:rPr>
                <w:rFonts w:ascii="Calibri" w:hAnsi="Calibri"/>
                <w:sz w:val="22"/>
              </w:rPr>
              <w:t>$0.602</w:t>
            </w:r>
          </w:p>
        </w:tc>
        <w:tc>
          <w:tcPr>
            <w:tcW w:type="dxa" w:w="1728"/>
          </w:tcPr>
          <w:p>
            <w:r>
              <w:rPr>
                <w:rFonts w:ascii="Calibri" w:hAnsi="Calibri"/>
                <w:sz w:val="22"/>
              </w:rPr>
              <w:t>−0.3%</w:t>
            </w:r>
          </w:p>
        </w:tc>
        <w:tc>
          <w:tcPr>
            <w:tcW w:type="dxa" w:w="1728"/>
          </w:tcPr>
          <w:p>
            <w:r>
              <w:rPr>
                <w:rFonts w:ascii="Calibri" w:hAnsi="Calibri"/>
                <w:b/>
                <w:color w:val="002FA7"/>
                <w:sz w:val="22"/>
              </w:rPr>
              <w:t>In Line</w:t>
            </w:r>
          </w:p>
        </w:tc>
      </w:tr>
      <w:tr>
        <w:tc>
          <w:tcPr>
            <w:tcW w:type="dxa" w:w="1728"/>
          </w:tcPr>
          <w:p>
            <w:r>
              <w:rPr>
                <w:rFonts w:ascii="Calibri" w:hAnsi="Calibri"/>
                <w:sz w:val="22"/>
              </w:rPr>
              <w:t>Q4 2025</w:t>
            </w:r>
          </w:p>
        </w:tc>
        <w:tc>
          <w:tcPr>
            <w:tcW w:type="dxa" w:w="1728"/>
          </w:tcPr>
          <w:p>
            <w:r>
              <w:rPr>
                <w:rFonts w:ascii="Calibri" w:hAnsi="Calibri"/>
                <w:sz w:val="22"/>
              </w:rPr>
              <w:t>$0.65</w:t>
            </w:r>
          </w:p>
        </w:tc>
        <w:tc>
          <w:tcPr>
            <w:tcW w:type="dxa" w:w="1728"/>
          </w:tcPr>
          <w:p>
            <w:r>
              <w:rPr>
                <w:rFonts w:ascii="Calibri" w:hAnsi="Calibri"/>
                <w:sz w:val="22"/>
              </w:rPr>
              <w:t>$0.584</w:t>
            </w:r>
          </w:p>
        </w:tc>
        <w:tc>
          <w:tcPr>
            <w:tcW w:type="dxa" w:w="1728"/>
          </w:tcPr>
          <w:p>
            <w:r>
              <w:rPr>
                <w:rFonts w:ascii="Calibri" w:hAnsi="Calibri"/>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$0.57</w:t>
            </w:r>
          </w:p>
        </w:tc>
        <w:tc>
          <w:tcPr>
            <w:tcW w:type="dxa" w:w="1728"/>
          </w:tcPr>
          <w:p>
            <w:r>
              <w:rPr>
                <w:rFonts w:ascii="Calibri" w:hAnsi="Calibri"/>
                <w:sz w:val="22"/>
              </w:rPr>
              <w:t>$0.538</w:t>
            </w:r>
          </w:p>
        </w:tc>
        <w:tc>
          <w:tcPr>
            <w:tcW w:type="dxa" w:w="1728"/>
          </w:tcPr>
          <w:p>
            <w:r>
              <w:rPr>
                <w:rFonts w:ascii="Calibri" w:hAnsi="Calibri"/>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$0.51</w:t>
            </w:r>
          </w:p>
        </w:tc>
        <w:tc>
          <w:tcPr>
            <w:tcW w:type="dxa" w:w="1728"/>
          </w:tcPr>
          <w:p>
            <w:r>
              <w:rPr>
                <w:rFonts w:ascii="Calibri" w:hAnsi="Calibri"/>
                <w:sz w:val="22"/>
              </w:rPr>
              <w:t>$0.469</w:t>
            </w:r>
          </w:p>
        </w:tc>
        <w:tc>
          <w:tcPr>
            <w:tcW w:type="dxa" w:w="1728"/>
          </w:tcPr>
          <w:p>
            <w:r>
              <w:rPr>
                <w:rFonts w:ascii="Calibri" w:hAnsi="Calibri"/>
                <w:sz w:val="22"/>
              </w:rPr>
              <w:t>+8.7%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$0.47</w:t>
            </w:r>
          </w:p>
        </w:tc>
        <w:tc>
          <w:tcPr>
            <w:tcW w:type="dxa" w:w="1728"/>
          </w:tcPr>
          <w:p>
            <w:r>
              <w:rPr>
                <w:rFonts w:ascii="Calibri" w:hAnsi="Calibri"/>
                <w:sz w:val="22"/>
              </w:rPr>
              <w:t>$0.478</w:t>
            </w:r>
          </w:p>
        </w:tc>
        <w:tc>
          <w:tcPr>
            <w:tcW w:type="dxa" w:w="1728"/>
          </w:tcPr>
          <w:p>
            <w:r>
              <w:rPr>
                <w:rFonts w:ascii="Calibri" w:hAnsi="Calibri"/>
                <w:sz w:val="22"/>
              </w:rPr>
              <w:t>−1.7%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$0.51</w:t>
            </w:r>
          </w:p>
        </w:tc>
        <w:tc>
          <w:tcPr>
            <w:tcW w:type="dxa" w:w="1728"/>
          </w:tcPr>
          <w:p>
            <w:r>
              <w:rPr>
                <w:rFonts w:ascii="Calibri" w:hAnsi="Calibri"/>
                <w:sz w:val="22"/>
              </w:rPr>
              <w:t>$0.464</w:t>
            </w:r>
          </w:p>
        </w:tc>
        <w:tc>
          <w:tcPr>
            <w:tcW w:type="dxa" w:w="1728"/>
          </w:tcPr>
          <w:p>
            <w:r>
              <w:rPr>
                <w:rFonts w:ascii="Calibri" w:hAnsi="Calibri"/>
                <w:sz w:val="22"/>
              </w:rPr>
              <w:t>+9.9%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$0.40</w:t>
            </w:r>
          </w:p>
        </w:tc>
        <w:tc>
          <w:tcPr>
            <w:tcW w:type="dxa" w:w="1728"/>
          </w:tcPr>
          <w:p>
            <w:r>
              <w:rPr>
                <w:rFonts w:ascii="Calibri" w:hAnsi="Calibri"/>
                <w:sz w:val="22"/>
              </w:rPr>
              <w:t>$0.451</w:t>
            </w:r>
          </w:p>
        </w:tc>
        <w:tc>
          <w:tcPr>
            <w:tcW w:type="dxa" w:w="1728"/>
          </w:tcPr>
          <w:p>
            <w:r>
              <w:rPr>
                <w:rFonts w:ascii="Calibri" w:hAnsi="Calibri"/>
                <w:sz w:val="22"/>
              </w:rPr>
              <w:t>−11.3%</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$0.51</w:t>
            </w:r>
          </w:p>
        </w:tc>
        <w:tc>
          <w:tcPr>
            <w:tcW w:type="dxa" w:w="1728"/>
          </w:tcPr>
          <w:p>
            <w:r>
              <w:rPr>
                <w:rFonts w:ascii="Calibri" w:hAnsi="Calibri"/>
                <w:sz w:val="22"/>
              </w:rPr>
              <w:t>$0.469</w:t>
            </w:r>
          </w:p>
        </w:tc>
        <w:tc>
          <w:tcPr>
            <w:tcW w:type="dxa" w:w="1728"/>
          </w:tcPr>
          <w:p>
            <w:r>
              <w:rPr>
                <w:rFonts w:ascii="Calibri" w:hAnsi="Calibri"/>
                <w:sz w:val="22"/>
              </w:rPr>
              <w:t>+8.7%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Total Customer DARTs (Top KPI #2)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w:t>
            </w:r>
          </w:p>
        </w:tc>
        <w:tc>
          <w:tcPr>
            <w:tcW w:type="dxa" w:w="1728"/>
            <w:shd w:val="clear" w:color="auto" w:fill="3B4259"/>
          </w:tcPr>
          <w:p>
            <w:r>
              <w:rPr>
                <w:rFonts w:ascii="Calibri" w:hAnsi="Calibri"/>
                <w:b/>
                <w:color w:val="FFFFFF"/>
                <w:sz w:val="22"/>
              </w:rPr>
              <w:t>Consensus (K)</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4,368</w:t>
            </w:r>
          </w:p>
        </w:tc>
        <w:tc>
          <w:tcPr>
            <w:tcW w:type="dxa" w:w="1728"/>
          </w:tcPr>
          <w:p>
            <w:r>
              <w:rPr>
                <w:rFonts w:ascii="Calibri" w:hAnsi="Calibri"/>
                <w:sz w:val="22"/>
              </w:rPr>
              <w:t>4,317</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4,043</w:t>
            </w:r>
          </w:p>
        </w:tc>
        <w:tc>
          <w:tcPr>
            <w:tcW w:type="dxa" w:w="1728"/>
          </w:tcPr>
          <w:p>
            <w:r>
              <w:rPr>
                <w:rFonts w:ascii="Calibri" w:hAnsi="Calibri"/>
                <w:sz w:val="22"/>
              </w:rPr>
              <w:t>3,965</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3,616</w:t>
            </w:r>
          </w:p>
        </w:tc>
        <w:tc>
          <w:tcPr>
            <w:tcW w:type="dxa" w:w="1728"/>
          </w:tcPr>
          <w:p>
            <w:r>
              <w:rPr>
                <w:rFonts w:ascii="Calibri" w:hAnsi="Calibri"/>
                <w:sz w:val="22"/>
              </w:rPr>
              <w:t>3,572</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3,552</w:t>
            </w:r>
          </w:p>
        </w:tc>
        <w:tc>
          <w:tcPr>
            <w:tcW w:type="dxa" w:w="1728"/>
          </w:tcPr>
          <w:p>
            <w:r>
              <w:rPr>
                <w:rFonts w:ascii="Calibri" w:hAnsi="Calibri"/>
                <w:sz w:val="22"/>
              </w:rPr>
              <w:t>3,546</w:t>
            </w:r>
          </w:p>
        </w:tc>
        <w:tc>
          <w:tcPr>
            <w:tcW w:type="dxa" w:w="1728"/>
          </w:tcPr>
          <w:p>
            <w:r>
              <w:rPr>
                <w:rFonts w:ascii="Calibri" w:hAnsi="Calibri"/>
                <w:sz w:val="22"/>
              </w:rPr>
              <w:t>+0.2%</w:t>
            </w:r>
          </w:p>
        </w:tc>
        <w:tc>
          <w:tcPr>
            <w:tcW w:type="dxa" w:w="1728"/>
          </w:tcPr>
          <w:p>
            <w:r>
              <w:rPr>
                <w:rFonts w:ascii="Calibri" w:hAnsi="Calibri"/>
                <w:b/>
                <w:color w:val="002FA7"/>
                <w:sz w:val="22"/>
              </w:rPr>
              <w:t>In Line</w:t>
            </w:r>
          </w:p>
        </w:tc>
      </w:tr>
      <w:tr>
        <w:tc>
          <w:tcPr>
            <w:tcW w:type="dxa" w:w="1728"/>
          </w:tcPr>
          <w:p>
            <w:r>
              <w:rPr>
                <w:rFonts w:ascii="Calibri" w:hAnsi="Calibri"/>
                <w:sz w:val="22"/>
              </w:rPr>
              <w:t>Q1 2025</w:t>
            </w:r>
          </w:p>
        </w:tc>
        <w:tc>
          <w:tcPr>
            <w:tcW w:type="dxa" w:w="1728"/>
          </w:tcPr>
          <w:p>
            <w:r>
              <w:rPr>
                <w:rFonts w:ascii="Calibri" w:hAnsi="Calibri"/>
                <w:sz w:val="22"/>
              </w:rPr>
              <w:t>3,519</w:t>
            </w:r>
          </w:p>
        </w:tc>
        <w:tc>
          <w:tcPr>
            <w:tcW w:type="dxa" w:w="1728"/>
          </w:tcPr>
          <w:p>
            <w:r>
              <w:rPr>
                <w:rFonts w:ascii="Calibri" w:hAnsi="Calibri"/>
                <w:sz w:val="22"/>
              </w:rPr>
              <w:t>3,447</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3,118</w:t>
            </w:r>
          </w:p>
        </w:tc>
        <w:tc>
          <w:tcPr>
            <w:tcW w:type="dxa" w:w="1728"/>
          </w:tcPr>
          <w:p>
            <w:r>
              <w:rPr>
                <w:rFonts w:ascii="Calibri" w:hAnsi="Calibri"/>
                <w:sz w:val="22"/>
              </w:rPr>
              <w:t>3,115</w:t>
            </w:r>
          </w:p>
        </w:tc>
        <w:tc>
          <w:tcPr>
            <w:tcW w:type="dxa" w:w="1728"/>
          </w:tcPr>
          <w:p>
            <w:r>
              <w:rPr>
                <w:rFonts w:ascii="Calibri" w:hAnsi="Calibri"/>
                <w:sz w:val="22"/>
              </w:rPr>
              <w:t>+0.1%</w:t>
            </w:r>
          </w:p>
        </w:tc>
        <w:tc>
          <w:tcPr>
            <w:tcW w:type="dxa" w:w="1728"/>
          </w:tcPr>
          <w:p>
            <w:r>
              <w:rPr>
                <w:rFonts w:ascii="Calibri" w:hAnsi="Calibri"/>
                <w:b/>
                <w:color w:val="002FA7"/>
                <w:sz w:val="22"/>
              </w:rPr>
              <w:t>In Line</w:t>
            </w:r>
          </w:p>
        </w:tc>
      </w:tr>
      <w:tr>
        <w:tc>
          <w:tcPr>
            <w:tcW w:type="dxa" w:w="1728"/>
          </w:tcPr>
          <w:p>
            <w:r>
              <w:rPr>
                <w:rFonts w:ascii="Calibri" w:hAnsi="Calibri"/>
                <w:sz w:val="22"/>
              </w:rPr>
              <w:t>Q3 2024</w:t>
            </w:r>
          </w:p>
        </w:tc>
        <w:tc>
          <w:tcPr>
            <w:tcW w:type="dxa" w:w="1728"/>
          </w:tcPr>
          <w:p>
            <w:r>
              <w:rPr>
                <w:rFonts w:ascii="Calibri" w:hAnsi="Calibri"/>
                <w:sz w:val="22"/>
              </w:rPr>
              <w:t>2,703</w:t>
            </w:r>
          </w:p>
        </w:tc>
        <w:tc>
          <w:tcPr>
            <w:tcW w:type="dxa" w:w="1728"/>
          </w:tcPr>
          <w:p>
            <w:r>
              <w:rPr>
                <w:rFonts w:ascii="Calibri" w:hAnsi="Calibri"/>
                <w:sz w:val="22"/>
              </w:rPr>
              <w:t>2,692</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3,552</w:t>
            </w:r>
          </w:p>
        </w:tc>
        <w:tc>
          <w:tcPr>
            <w:tcW w:type="dxa" w:w="1728"/>
          </w:tcPr>
          <w:p>
            <w:r>
              <w:rPr>
                <w:rFonts w:ascii="Calibri" w:hAnsi="Calibri"/>
                <w:sz w:val="22"/>
              </w:rPr>
              <w:t>3,546</w:t>
            </w:r>
          </w:p>
        </w:tc>
        <w:tc>
          <w:tcPr>
            <w:tcW w:type="dxa" w:w="1728"/>
          </w:tcPr>
          <w:p>
            <w:r>
              <w:rPr>
                <w:rFonts w:ascii="Calibri" w:hAnsi="Calibri"/>
                <w:sz w:val="22"/>
              </w:rPr>
              <w:t>+0.2%</w:t>
            </w:r>
          </w:p>
        </w:tc>
        <w:tc>
          <w:tcPr>
            <w:tcW w:type="dxa" w:w="1728"/>
          </w:tcPr>
          <w:p>
            <w:r>
              <w:rPr>
                <w:rFonts w:ascii="Calibri" w:hAnsi="Calibri"/>
                <w:b/>
                <w:color w:val="002FA7"/>
                <w:sz w:val="22"/>
              </w:rPr>
              <w:t>In Line</w:t>
            </w:r>
          </w:p>
        </w:tc>
      </w:tr>
    </w:tbl>
    <w:p>
      <w:r>
        <w:rPr>
          <w:rFonts w:ascii="Calibri" w:hAnsi="Calibri"/>
          <w:b/>
          <w:color w:val="525866"/>
          <w:sz w:val="22"/>
        </w:rPr>
        <w:t xml:space="preserve">Pattern: </w:t>
      </w:r>
      <w:r>
        <w:rPr>
          <w:rFonts w:ascii="Calibri" w:hAnsi="Calibri"/>
          <w:color w:val="525866"/>
          <w:sz w:val="22"/>
        </w:rPr>
        <w:t>IBKR has beaten or met Operating EPS consensus in 6 of the last 8 quarters, with the two misses concentrated in Q3 2024 and Q1 2025. DARTs have consistently met or beaten consensus, reflecting the company’s ability to benefit from elevated market volatility and growing account engagement.</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No formal numerical guidance was issued on the Q1 2026 call. Management tone was constructive across all key drivers, with the dividend raise and strong pipeline commentary signaling confidence. The only post-earnings guidance update is the SEC fee rate change effective April 4, which is a pass-through with no net income impact.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 Commentary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Operating EPS</w:t>
            </w:r>
          </w:p>
        </w:tc>
        <w:tc>
          <w:tcPr>
            <w:tcW w:type="dxa" w:w="1728"/>
          </w:tcPr>
          <w:p>
            <w:r>
              <w:rPr>
                <w:rFonts w:ascii="Calibri" w:hAnsi="Calibri"/>
                <w:sz w:val="22"/>
              </w:rPr>
              <w:t>No formal guidance; NII sensitivity: −25bp Fed = −$80M annual NII</w:t>
            </w:r>
          </w:p>
        </w:tc>
        <w:tc>
          <w:tcPr>
            <w:tcW w:type="dxa" w:w="1728"/>
          </w:tcPr>
          <w:p>
            <w:r>
              <w:rPr>
                <w:rFonts w:ascii="Calibri" w:hAnsi="Calibri"/>
                <w:sz w:val="22"/>
              </w:rPr>
              <w:t>—</w:t>
            </w:r>
          </w:p>
        </w:tc>
        <w:tc>
          <w:tcPr>
            <w:tcW w:type="dxa" w:w="1728"/>
          </w:tcPr>
          <w:p>
            <w:r>
              <w:rPr>
                <w:rFonts w:ascii="Calibri" w:hAnsi="Calibri"/>
                <w:sz w:val="22"/>
              </w:rPr>
              <w:t>$0.628</w:t>
            </w:r>
          </w:p>
        </w:tc>
        <w:tc>
          <w:tcPr>
            <w:tcW w:type="dxa" w:w="1728"/>
          </w:tcPr>
          <w:p>
            <w:r>
              <w:rPr>
                <w:rFonts w:ascii="Calibri" w:hAnsi="Calibri"/>
                <w:sz w:val="22"/>
              </w:rPr>
              <w:t>No post-earnings revision; consensus revised up ~5% since Q1 print</w:t>
            </w:r>
          </w:p>
        </w:tc>
      </w:tr>
      <w:tr>
        <w:tc>
          <w:tcPr>
            <w:tcW w:type="dxa" w:w="1728"/>
          </w:tcPr>
          <w:p>
            <w:r>
              <w:rPr>
                <w:rFonts w:ascii="Calibri" w:hAnsi="Calibri"/>
                <w:sz w:val="22"/>
              </w:rPr>
              <w:t>Total Net Revenue</w:t>
            </w:r>
          </w:p>
        </w:tc>
        <w:tc>
          <w:tcPr>
            <w:tcW w:type="dxa" w:w="1728"/>
          </w:tcPr>
          <w:p>
            <w:r>
              <w:rPr>
                <w:rFonts w:ascii="Calibri" w:hAnsi="Calibri"/>
                <w:sz w:val="22"/>
              </w:rPr>
              <w:t>No formal guidance; record commission revenue in Q1 cited as positive signal</w:t>
            </w:r>
          </w:p>
        </w:tc>
        <w:tc>
          <w:tcPr>
            <w:tcW w:type="dxa" w:w="1728"/>
          </w:tcPr>
          <w:p>
            <w:r>
              <w:rPr>
                <w:rFonts w:ascii="Calibri" w:hAnsi="Calibri"/>
                <w:sz w:val="22"/>
              </w:rPr>
              <w:t>—</w:t>
            </w:r>
          </w:p>
        </w:tc>
        <w:tc>
          <w:tcPr>
            <w:tcW w:type="dxa" w:w="1728"/>
          </w:tcPr>
          <w:p>
            <w:r>
              <w:rPr>
                <w:rFonts w:ascii="Calibri" w:hAnsi="Calibri"/>
                <w:sz w:val="22"/>
              </w:rPr>
              <w:t>$1,738M</w:t>
            </w:r>
          </w:p>
        </w:tc>
        <w:tc>
          <w:tcPr>
            <w:tcW w:type="dxa" w:w="1728"/>
          </w:tcPr>
          <w:p>
            <w:r>
              <w:rPr>
                <w:rFonts w:ascii="Calibri" w:hAnsi="Calibri"/>
                <w:sz w:val="22"/>
              </w:rPr>
              <w:t>No post-earnings revision; consensus revised up ~3% since Q1 print</w:t>
            </w:r>
          </w:p>
        </w:tc>
      </w:tr>
      <w:tr>
        <w:tc>
          <w:tcPr>
            <w:tcW w:type="dxa" w:w="1728"/>
          </w:tcPr>
          <w:p>
            <w:r>
              <w:rPr>
                <w:rFonts w:ascii="Calibri" w:hAnsi="Calibri"/>
                <w:sz w:val="22"/>
              </w:rPr>
              <w:t>Commission Revenue</w:t>
            </w:r>
          </w:p>
        </w:tc>
        <w:tc>
          <w:tcPr>
            <w:tcW w:type="dxa" w:w="1728"/>
          </w:tcPr>
          <w:p>
            <w:r>
              <w:rPr>
                <w:rFonts w:ascii="Calibri" w:hAnsi="Calibri"/>
                <w:sz w:val="22"/>
              </w:rPr>
              <w:t>SEC raised fee rate from $0 to $20.60/million effective April 4 — pass-through, no net income impact</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Gross commission revenue will appear higher; net income unaffected</w:t>
            </w:r>
          </w:p>
        </w:tc>
      </w:tr>
      <w:tr>
        <w:tc>
          <w:tcPr>
            <w:tcW w:type="dxa" w:w="1728"/>
          </w:tcPr>
          <w:p>
            <w:r>
              <w:rPr>
                <w:rFonts w:ascii="Calibri" w:hAnsi="Calibri"/>
                <w:sz w:val="22"/>
              </w:rPr>
              <w:t>Net Interest Income</w:t>
            </w:r>
          </w:p>
        </w:tc>
        <w:tc>
          <w:tcPr>
            <w:tcW w:type="dxa" w:w="1728"/>
          </w:tcPr>
          <w:p>
            <w:r>
              <w:rPr>
                <w:rFonts w:ascii="Calibri" w:hAnsi="Calibri"/>
                <w:sz w:val="22"/>
              </w:rPr>
              <w:t>−25bp Fed = −$80M annual NII; balance sheet growth partially offsets; ~1/3 of balances non-USD</w:t>
            </w:r>
          </w:p>
        </w:tc>
        <w:tc>
          <w:tcPr>
            <w:tcW w:type="dxa" w:w="1728"/>
          </w:tcPr>
          <w:p>
            <w:r>
              <w:rPr>
                <w:rFonts w:ascii="Calibri" w:hAnsi="Calibri"/>
                <w:sz w:val="22"/>
              </w:rPr>
              <w:t>—</w:t>
            </w:r>
          </w:p>
        </w:tc>
        <w:tc>
          <w:tcPr>
            <w:tcW w:type="dxa" w:w="1728"/>
          </w:tcPr>
          <w:p>
            <w:r>
              <w:rPr>
                <w:rFonts w:ascii="Calibri" w:hAnsi="Calibri"/>
                <w:sz w:val="22"/>
              </w:rPr>
              <w:t>$975M</w:t>
            </w:r>
          </w:p>
        </w:tc>
        <w:tc>
          <w:tcPr>
            <w:tcW w:type="dxa" w:w="1728"/>
          </w:tcPr>
          <w:p>
            <w:r>
              <w:rPr>
                <w:rFonts w:ascii="Calibri" w:hAnsi="Calibri"/>
                <w:sz w:val="22"/>
              </w:rPr>
              <w:t>No post-earnings revision; consensus revised up ~2.7% since Q1 print</w:t>
            </w:r>
          </w:p>
        </w:tc>
      </w:tr>
      <w:tr>
        <w:tc>
          <w:tcPr>
            <w:tcW w:type="dxa" w:w="1728"/>
          </w:tcPr>
          <w:p>
            <w:r>
              <w:rPr>
                <w:rFonts w:ascii="Calibri" w:hAnsi="Calibri"/>
                <w:sz w:val="22"/>
              </w:rPr>
              <w:t>Account Growth</w:t>
            </w:r>
          </w:p>
        </w:tc>
        <w:tc>
          <w:tcPr>
            <w:tcW w:type="dxa" w:w="1728"/>
          </w:tcPr>
          <w:p>
            <w:r>
              <w:rPr>
                <w:rFonts w:ascii="Calibri" w:hAnsi="Calibri"/>
                <w:sz w:val="22"/>
              </w:rPr>
              <w:t>Mgmt: growth will “continue the way we have seen over the past several years”; PDT rule elimination is an “opportunity”</w:t>
            </w:r>
          </w:p>
        </w:tc>
        <w:tc>
          <w:tcPr>
            <w:tcW w:type="dxa" w:w="1728"/>
          </w:tcPr>
          <w:p>
            <w:r>
              <w:rPr>
                <w:rFonts w:ascii="Calibri" w:hAnsi="Calibri"/>
                <w:sz w:val="22"/>
              </w:rPr>
              <w:t>—</w:t>
            </w:r>
          </w:p>
        </w:tc>
        <w:tc>
          <w:tcPr>
            <w:tcW w:type="dxa" w:w="1728"/>
          </w:tcPr>
          <w:p>
            <w:r>
              <w:rPr>
                <w:rFonts w:ascii="Calibri" w:hAnsi="Calibri"/>
                <w:sz w:val="22"/>
              </w:rPr>
              <w:t>5.126M accounts</w:t>
            </w:r>
          </w:p>
        </w:tc>
        <w:tc>
          <w:tcPr>
            <w:tcW w:type="dxa" w:w="1728"/>
          </w:tcPr>
          <w:p>
            <w:r>
              <w:rPr>
                <w:rFonts w:ascii="Calibri" w:hAnsi="Calibri"/>
                <w:sz w:val="22"/>
              </w:rPr>
              <w:t>No post-earnings revision; consensus revised up ~2% since Q1 print</w:t>
            </w:r>
          </w:p>
        </w:tc>
      </w:tr>
      <w:tr>
        <w:tc>
          <w:tcPr>
            <w:tcW w:type="dxa" w:w="1728"/>
          </w:tcPr>
          <w:p>
            <w:r>
              <w:rPr>
                <w:rFonts w:ascii="Calibri" w:hAnsi="Calibri"/>
                <w:sz w:val="22"/>
              </w:rPr>
              <w:t>Dividend</w:t>
            </w:r>
          </w:p>
        </w:tc>
        <w:tc>
          <w:tcPr>
            <w:tcW w:type="dxa" w:w="1728"/>
          </w:tcPr>
          <w:p>
            <w:r>
              <w:rPr>
                <w:rFonts w:ascii="Calibri" w:hAnsi="Calibri"/>
                <w:sz w:val="22"/>
              </w:rPr>
              <w:t>Raised from $0.32 to $0.35/year ($0.0875/quarter); payable June 12, 2026</w:t>
            </w:r>
          </w:p>
        </w:tc>
        <w:tc>
          <w:tcPr>
            <w:tcW w:type="dxa" w:w="1728"/>
          </w:tcPr>
          <w:p>
            <w:r>
              <w:rPr>
                <w:rFonts w:ascii="Calibri" w:hAnsi="Calibri"/>
                <w:sz w:val="22"/>
              </w:rPr>
              <w:t>—</w:t>
            </w:r>
          </w:p>
        </w:tc>
        <w:tc>
          <w:tcPr>
            <w:tcW w:type="dxa" w:w="1728"/>
          </w:tcPr>
          <w:p>
            <w:r>
              <w:rPr>
                <w:rFonts w:ascii="Calibri" w:hAnsi="Calibri"/>
                <w:sz w:val="22"/>
              </w:rPr>
              <w:t>$0.0875/quarter</w:t>
            </w:r>
          </w:p>
        </w:tc>
        <w:tc>
          <w:tcPr>
            <w:tcW w:type="dxa" w:w="1728"/>
          </w:tcPr>
          <w:p>
            <w:r>
              <w:rPr>
                <w:rFonts w:ascii="Calibri" w:hAnsi="Calibri"/>
                <w:sz w:val="22"/>
              </w:rPr>
              <w:t>↑ Raised at Q1 2026 earnings; signals confidence in capital base and growth</w:t>
            </w:r>
          </w:p>
        </w:tc>
      </w:tr>
    </w:tbl>
    <w:p>
      <w:r>
        <w:rPr>
          <w:rFonts w:ascii="Calibri" w:hAnsi="Calibri"/>
          <w:color w:val="525866"/>
          <w:sz w:val="22"/>
        </w:rPr>
        <w:t>Source: IBKR Q1 2026 Earnings Call Transcript (April 21, 2026); IBKR Q1 2026 Earnings Release.</w:t>
      </w:r>
    </w:p>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moved meaningfully higher since the Q1 print, with DARTs and NII leading the upward revision. The Street is tracking well above the post-Q1 baseline, suggesting the market has already embedded a strong quarter — leaving less room for upside surprise on the headline numbers.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 &amp; Period</w:t>
            </w:r>
          </w:p>
        </w:tc>
        <w:tc>
          <w:tcPr>
            <w:tcW w:type="dxa" w:w="1440"/>
            <w:shd w:val="clear" w:color="auto" w:fill="3B4259"/>
          </w:tcPr>
          <w:p>
            <w:r>
              <w:rPr>
                <w:rFonts w:ascii="Calibri" w:hAnsi="Calibri"/>
                <w:b/>
                <w:color w:val="FFFFFF"/>
                <w:sz w:val="22"/>
              </w:rPr>
              <w:t>Estimate ~Apr 28, 2026 (Post-Q1 Baseline)</w:t>
            </w:r>
          </w:p>
        </w:tc>
        <w:tc>
          <w:tcPr>
            <w:tcW w:type="dxa" w:w="1440"/>
            <w:shd w:val="clear" w:color="auto" w:fill="3B4259"/>
          </w:tcPr>
          <w:p>
            <w:r>
              <w:rPr>
                <w:rFonts w:ascii="Calibri" w:hAnsi="Calibri"/>
                <w:b/>
                <w:color w:val="FFFFFF"/>
                <w:sz w:val="22"/>
              </w:rPr>
              <w:t>Current Consensus (Jul 20, 2026)</w:t>
            </w:r>
          </w:p>
        </w:tc>
        <w:tc>
          <w:tcPr>
            <w:tcW w:type="dxa" w:w="1440"/>
            <w:shd w:val="clear" w:color="auto" w:fill="3B4259"/>
          </w:tcPr>
          <w:p>
            <w:r>
              <w:rPr>
                <w:rFonts w:ascii="Calibri" w:hAnsi="Calibri"/>
                <w:b/>
                <w:color w:val="FFFFFF"/>
                <w:sz w:val="22"/>
              </w:rPr>
              <w:t>Estimate Δ (%)</w:t>
            </w:r>
          </w:p>
        </w:tc>
        <w:tc>
          <w:tcPr>
            <w:tcW w:type="dxa" w:w="1440"/>
            <w:shd w:val="clear" w:color="auto" w:fill="3B4259"/>
          </w:tcPr>
          <w:p>
            <w:r>
              <w:rPr>
                <w:rFonts w:ascii="Calibri" w:hAnsi="Calibri"/>
                <w:b/>
                <w:color w:val="FFFFFF"/>
                <w:sz w:val="22"/>
              </w:rPr>
              <w:t>Initial Guidance (Q1 Call)</w:t>
            </w:r>
          </w:p>
        </w:tc>
        <w:tc>
          <w:tcPr>
            <w:tcW w:type="dxa" w:w="1440"/>
            <w:shd w:val="clear" w:color="auto" w:fill="3B4259"/>
          </w:tcPr>
          <w:p>
            <w:r>
              <w:rPr>
                <w:rFonts w:ascii="Calibri" w:hAnsi="Calibri"/>
                <w:b/>
                <w:color w:val="FFFFFF"/>
                <w:sz w:val="22"/>
              </w:rPr>
              <w:t>Consensus vs. Guidance</w:t>
            </w:r>
          </w:p>
        </w:tc>
      </w:tr>
      <w:tr>
        <w:tc>
          <w:tcPr>
            <w:tcW w:type="dxa" w:w="1440"/>
          </w:tcPr>
          <w:p>
            <w:r>
              <w:rPr>
                <w:rFonts w:ascii="Calibri" w:hAnsi="Calibri"/>
                <w:sz w:val="22"/>
              </w:rPr>
              <w:t>Operating EPS — Q2 2026</w:t>
            </w:r>
          </w:p>
        </w:tc>
        <w:tc>
          <w:tcPr>
            <w:tcW w:type="dxa" w:w="1440"/>
          </w:tcPr>
          <w:p>
            <w:r>
              <w:rPr>
                <w:rFonts w:ascii="Calibri" w:hAnsi="Calibri"/>
                <w:sz w:val="22"/>
              </w:rPr>
              <w:t>$0.599</w:t>
            </w:r>
          </w:p>
        </w:tc>
        <w:tc>
          <w:tcPr>
            <w:tcW w:type="dxa" w:w="1440"/>
          </w:tcPr>
          <w:p>
            <w:r>
              <w:rPr>
                <w:rFonts w:ascii="Calibri" w:hAnsi="Calibri"/>
                <w:sz w:val="22"/>
              </w:rPr>
              <w:t>$0.628</w:t>
            </w:r>
          </w:p>
        </w:tc>
        <w:tc>
          <w:tcPr>
            <w:tcW w:type="dxa" w:w="1440"/>
          </w:tcPr>
          <w:p>
            <w:r>
              <w:rPr>
                <w:rFonts w:ascii="Calibri" w:hAnsi="Calibri"/>
                <w:b/>
                <w:color w:val="30A46C"/>
                <w:sz w:val="22"/>
              </w:rPr>
              <w:t>+4.8%</w:t>
            </w:r>
          </w:p>
        </w:tc>
        <w:tc>
          <w:tcPr>
            <w:tcW w:type="dxa" w:w="1440"/>
          </w:tcPr>
          <w:p>
            <w:r>
              <w:rPr>
                <w:rFonts w:ascii="Calibri" w:hAnsi="Calibri"/>
                <w:sz w:val="22"/>
              </w:rPr>
              <w:t>No formal guidance</w:t>
            </w:r>
          </w:p>
        </w:tc>
        <w:tc>
          <w:tcPr>
            <w:tcW w:type="dxa" w:w="1440"/>
          </w:tcPr>
          <w:p>
            <w:r>
              <w:rPr>
                <w:rFonts w:ascii="Calibri" w:hAnsi="Calibri"/>
                <w:sz w:val="22"/>
              </w:rPr>
              <w:t>N/A</w:t>
            </w:r>
          </w:p>
        </w:tc>
      </w:tr>
      <w:tr>
        <w:tc>
          <w:tcPr>
            <w:tcW w:type="dxa" w:w="1440"/>
          </w:tcPr>
          <w:p>
            <w:r>
              <w:rPr>
                <w:rFonts w:ascii="Calibri" w:hAnsi="Calibri"/>
                <w:sz w:val="22"/>
              </w:rPr>
              <w:t>Operating EPS — FY 2026</w:t>
            </w:r>
          </w:p>
        </w:tc>
        <w:tc>
          <w:tcPr>
            <w:tcW w:type="dxa" w:w="1440"/>
          </w:tcPr>
          <w:p>
            <w:r>
              <w:rPr>
                <w:rFonts w:ascii="Calibri" w:hAnsi="Calibri"/>
                <w:sz w:val="22"/>
              </w:rPr>
              <w:t>$2.484</w:t>
            </w:r>
          </w:p>
        </w:tc>
        <w:tc>
          <w:tcPr>
            <w:tcW w:type="dxa" w:w="1440"/>
          </w:tcPr>
          <w:p>
            <w:r>
              <w:rPr>
                <w:rFonts w:ascii="Calibri" w:hAnsi="Calibri"/>
                <w:sz w:val="22"/>
              </w:rPr>
              <w:t>$2.573</w:t>
            </w:r>
          </w:p>
        </w:tc>
        <w:tc>
          <w:tcPr>
            <w:tcW w:type="dxa" w:w="1440"/>
          </w:tcPr>
          <w:p>
            <w:r>
              <w:rPr>
                <w:rFonts w:ascii="Calibri" w:hAnsi="Calibri"/>
                <w:b/>
                <w:color w:val="30A46C"/>
                <w:sz w:val="22"/>
              </w:rPr>
              <w:t>+3.6%</w:t>
            </w:r>
          </w:p>
        </w:tc>
        <w:tc>
          <w:tcPr>
            <w:tcW w:type="dxa" w:w="1440"/>
          </w:tcPr>
          <w:p>
            <w:r>
              <w:rPr>
                <w:rFonts w:ascii="Calibri" w:hAnsi="Calibri"/>
                <w:sz w:val="22"/>
              </w:rPr>
              <w:t>No formal guidance</w:t>
            </w:r>
          </w:p>
        </w:tc>
        <w:tc>
          <w:tcPr>
            <w:tcW w:type="dxa" w:w="1440"/>
          </w:tcPr>
          <w:p>
            <w:r>
              <w:rPr>
                <w:rFonts w:ascii="Calibri" w:hAnsi="Calibri"/>
                <w:sz w:val="22"/>
              </w:rPr>
              <w:t>N/A</w:t>
            </w:r>
          </w:p>
        </w:tc>
      </w:tr>
      <w:tr>
        <w:tc>
          <w:tcPr>
            <w:tcW w:type="dxa" w:w="1440"/>
          </w:tcPr>
          <w:p>
            <w:r>
              <w:rPr>
                <w:rFonts w:ascii="Calibri" w:hAnsi="Calibri"/>
                <w:sz w:val="22"/>
              </w:rPr>
              <w:t>Total Net Revenue — Q2 2026</w:t>
            </w:r>
          </w:p>
        </w:tc>
        <w:tc>
          <w:tcPr>
            <w:tcW w:type="dxa" w:w="1440"/>
          </w:tcPr>
          <w:p>
            <w:r>
              <w:rPr>
                <w:rFonts w:ascii="Calibri" w:hAnsi="Calibri"/>
                <w:sz w:val="22"/>
              </w:rPr>
              <w:t>$1,687M</w:t>
            </w:r>
          </w:p>
        </w:tc>
        <w:tc>
          <w:tcPr>
            <w:tcW w:type="dxa" w:w="1440"/>
          </w:tcPr>
          <w:p>
            <w:r>
              <w:rPr>
                <w:rFonts w:ascii="Calibri" w:hAnsi="Calibri"/>
                <w:sz w:val="22"/>
              </w:rPr>
              <w:t>$1,738M</w:t>
            </w:r>
          </w:p>
        </w:tc>
        <w:tc>
          <w:tcPr>
            <w:tcW w:type="dxa" w:w="1440"/>
          </w:tcPr>
          <w:p>
            <w:r>
              <w:rPr>
                <w:rFonts w:ascii="Calibri" w:hAnsi="Calibri"/>
                <w:b/>
                <w:color w:val="30A46C"/>
                <w:sz w:val="22"/>
              </w:rPr>
              <w:t>+3.0%</w:t>
            </w:r>
          </w:p>
        </w:tc>
        <w:tc>
          <w:tcPr>
            <w:tcW w:type="dxa" w:w="1440"/>
          </w:tcPr>
          <w:p>
            <w:r>
              <w:rPr>
                <w:rFonts w:ascii="Calibri" w:hAnsi="Calibri"/>
                <w:sz w:val="22"/>
              </w:rPr>
              <w:t>No formal guidance</w:t>
            </w:r>
          </w:p>
        </w:tc>
        <w:tc>
          <w:tcPr>
            <w:tcW w:type="dxa" w:w="1440"/>
          </w:tcPr>
          <w:p>
            <w:r>
              <w:rPr>
                <w:rFonts w:ascii="Calibri" w:hAnsi="Calibri"/>
                <w:sz w:val="22"/>
              </w:rPr>
              <w:t>N/A</w:t>
            </w:r>
          </w:p>
        </w:tc>
      </w:tr>
      <w:tr>
        <w:tc>
          <w:tcPr>
            <w:tcW w:type="dxa" w:w="1440"/>
          </w:tcPr>
          <w:p>
            <w:r>
              <w:rPr>
                <w:rFonts w:ascii="Calibri" w:hAnsi="Calibri"/>
                <w:sz w:val="22"/>
              </w:rPr>
              <w:t>Total Net Revenue — FY 2026</w:t>
            </w:r>
          </w:p>
        </w:tc>
        <w:tc>
          <w:tcPr>
            <w:tcW w:type="dxa" w:w="1440"/>
          </w:tcPr>
          <w:p>
            <w:r>
              <w:rPr>
                <w:rFonts w:ascii="Calibri" w:hAnsi="Calibri"/>
                <w:sz w:val="22"/>
              </w:rPr>
              <w:t>$6,936M</w:t>
            </w:r>
          </w:p>
        </w:tc>
        <w:tc>
          <w:tcPr>
            <w:tcW w:type="dxa" w:w="1440"/>
          </w:tcPr>
          <w:p>
            <w:r>
              <w:rPr>
                <w:rFonts w:ascii="Calibri" w:hAnsi="Calibri"/>
                <w:sz w:val="22"/>
              </w:rPr>
              <w:t>$7,101M</w:t>
            </w:r>
          </w:p>
        </w:tc>
        <w:tc>
          <w:tcPr>
            <w:tcW w:type="dxa" w:w="1440"/>
          </w:tcPr>
          <w:p>
            <w:r>
              <w:rPr>
                <w:rFonts w:ascii="Calibri" w:hAnsi="Calibri"/>
                <w:b/>
                <w:color w:val="30A46C"/>
                <w:sz w:val="22"/>
              </w:rPr>
              <w:t>+2.4%</w:t>
            </w:r>
          </w:p>
        </w:tc>
        <w:tc>
          <w:tcPr>
            <w:tcW w:type="dxa" w:w="1440"/>
          </w:tcPr>
          <w:p>
            <w:r>
              <w:rPr>
                <w:rFonts w:ascii="Calibri" w:hAnsi="Calibri"/>
                <w:sz w:val="22"/>
              </w:rPr>
              <w:t>No formal guidance</w:t>
            </w:r>
          </w:p>
        </w:tc>
        <w:tc>
          <w:tcPr>
            <w:tcW w:type="dxa" w:w="1440"/>
          </w:tcPr>
          <w:p>
            <w:r>
              <w:rPr>
                <w:rFonts w:ascii="Calibri" w:hAnsi="Calibri"/>
                <w:sz w:val="22"/>
              </w:rPr>
              <w:t>N/A</w:t>
            </w:r>
          </w:p>
        </w:tc>
      </w:tr>
      <w:tr>
        <w:tc>
          <w:tcPr>
            <w:tcW w:type="dxa" w:w="1440"/>
          </w:tcPr>
          <w:p>
            <w:r>
              <w:rPr>
                <w:rFonts w:ascii="Calibri" w:hAnsi="Calibri"/>
                <w:sz w:val="22"/>
              </w:rPr>
              <w:t>Total Accounts — Q2 2026</w:t>
            </w:r>
          </w:p>
        </w:tc>
        <w:tc>
          <w:tcPr>
            <w:tcW w:type="dxa" w:w="1440"/>
          </w:tcPr>
          <w:p>
            <w:r>
              <w:rPr>
                <w:rFonts w:ascii="Calibri" w:hAnsi="Calibri"/>
                <w:sz w:val="22"/>
              </w:rPr>
              <w:t>5.027M</w:t>
            </w:r>
          </w:p>
        </w:tc>
        <w:tc>
          <w:tcPr>
            <w:tcW w:type="dxa" w:w="1440"/>
          </w:tcPr>
          <w:p>
            <w:r>
              <w:rPr>
                <w:rFonts w:ascii="Calibri" w:hAnsi="Calibri"/>
                <w:sz w:val="22"/>
              </w:rPr>
              <w:t>5.126M</w:t>
            </w:r>
          </w:p>
        </w:tc>
        <w:tc>
          <w:tcPr>
            <w:tcW w:type="dxa" w:w="1440"/>
          </w:tcPr>
          <w:p>
            <w:r>
              <w:rPr>
                <w:rFonts w:ascii="Calibri" w:hAnsi="Calibri"/>
                <w:b/>
                <w:color w:val="30A46C"/>
                <w:sz w:val="22"/>
              </w:rPr>
              <w:t>+2.0%</w:t>
            </w:r>
          </w:p>
        </w:tc>
        <w:tc>
          <w:tcPr>
            <w:tcW w:type="dxa" w:w="1440"/>
          </w:tcPr>
          <w:p>
            <w:r>
              <w:rPr>
                <w:rFonts w:ascii="Calibri" w:hAnsi="Calibri"/>
                <w:sz w:val="22"/>
              </w:rPr>
              <w:t>Continued growth expected; PDT rule elimination an opportunity</w:t>
            </w:r>
          </w:p>
        </w:tc>
        <w:tc>
          <w:tcPr>
            <w:tcW w:type="dxa" w:w="1440"/>
          </w:tcPr>
          <w:p>
            <w:r>
              <w:rPr>
                <w:rFonts w:ascii="Calibri" w:hAnsi="Calibri"/>
                <w:sz w:val="22"/>
              </w:rPr>
              <w:t>N/A (qualitative only)</w:t>
            </w:r>
          </w:p>
        </w:tc>
      </w:tr>
      <w:tr>
        <w:tc>
          <w:tcPr>
            <w:tcW w:type="dxa" w:w="1440"/>
          </w:tcPr>
          <w:p>
            <w:r>
              <w:rPr>
                <w:rFonts w:ascii="Calibri" w:hAnsi="Calibri"/>
                <w:sz w:val="22"/>
              </w:rPr>
              <w:t>Customer Equity — Q2 2026</w:t>
            </w:r>
          </w:p>
        </w:tc>
        <w:tc>
          <w:tcPr>
            <w:tcW w:type="dxa" w:w="1440"/>
          </w:tcPr>
          <w:p>
            <w:r>
              <w:rPr>
                <w:rFonts w:ascii="Calibri" w:hAnsi="Calibri"/>
                <w:sz w:val="22"/>
              </w:rPr>
              <w:t>$828.1B</w:t>
            </w:r>
          </w:p>
        </w:tc>
        <w:tc>
          <w:tcPr>
            <w:tcW w:type="dxa" w:w="1440"/>
          </w:tcPr>
          <w:p>
            <w:r>
              <w:rPr>
                <w:rFonts w:ascii="Calibri" w:hAnsi="Calibri"/>
                <w:sz w:val="22"/>
              </w:rPr>
              <w:t>$887.5B</w:t>
            </w:r>
          </w:p>
        </w:tc>
        <w:tc>
          <w:tcPr>
            <w:tcW w:type="dxa" w:w="1440"/>
          </w:tcPr>
          <w:p>
            <w:r>
              <w:rPr>
                <w:rFonts w:ascii="Calibri" w:hAnsi="Calibri"/>
                <w:b/>
                <w:color w:val="30A46C"/>
                <w:sz w:val="22"/>
              </w:rPr>
              <w:t>+7.2%</w:t>
            </w:r>
          </w:p>
        </w:tc>
        <w:tc>
          <w:tcPr>
            <w:tcW w:type="dxa" w:w="1440"/>
          </w:tcPr>
          <w:p>
            <w:r>
              <w:rPr>
                <w:rFonts w:ascii="Calibri" w:hAnsi="Calibri"/>
                <w:sz w:val="22"/>
              </w:rPr>
              <w:t>No formal guidance; account funding expected to offset market moves</w:t>
            </w:r>
          </w:p>
        </w:tc>
        <w:tc>
          <w:tcPr>
            <w:tcW w:type="dxa" w:w="1440"/>
          </w:tcPr>
          <w:p>
            <w:r>
              <w:rPr>
                <w:rFonts w:ascii="Calibri" w:hAnsi="Calibri"/>
                <w:sz w:val="22"/>
              </w:rPr>
              <w:t>N/A</w:t>
            </w:r>
          </w:p>
        </w:tc>
      </w:tr>
      <w:tr>
        <w:tc>
          <w:tcPr>
            <w:tcW w:type="dxa" w:w="1440"/>
          </w:tcPr>
          <w:p>
            <w:r>
              <w:rPr>
                <w:rFonts w:ascii="Calibri" w:hAnsi="Calibri"/>
                <w:sz w:val="22"/>
              </w:rPr>
              <w:t>Total Customer DARTs — Q2 2026</w:t>
            </w:r>
          </w:p>
        </w:tc>
        <w:tc>
          <w:tcPr>
            <w:tcW w:type="dxa" w:w="1440"/>
          </w:tcPr>
          <w:p>
            <w:r>
              <w:rPr>
                <w:rFonts w:ascii="Calibri" w:hAnsi="Calibri"/>
                <w:sz w:val="22"/>
              </w:rPr>
              <w:t>4,318K</w:t>
            </w:r>
          </w:p>
        </w:tc>
        <w:tc>
          <w:tcPr>
            <w:tcW w:type="dxa" w:w="1440"/>
          </w:tcPr>
          <w:p>
            <w:r>
              <w:rPr>
                <w:rFonts w:ascii="Calibri" w:hAnsi="Calibri"/>
                <w:sz w:val="22"/>
              </w:rPr>
              <w:t>4,666K</w:t>
            </w:r>
          </w:p>
        </w:tc>
        <w:tc>
          <w:tcPr>
            <w:tcW w:type="dxa" w:w="1440"/>
          </w:tcPr>
          <w:p>
            <w:r>
              <w:rPr>
                <w:rFonts w:ascii="Calibri" w:hAnsi="Calibri"/>
                <w:b/>
                <w:color w:val="30A46C"/>
                <w:sz w:val="22"/>
              </w:rPr>
              <w:t>+8.1%</w:t>
            </w:r>
          </w:p>
        </w:tc>
        <w:tc>
          <w:tcPr>
            <w:tcW w:type="dxa" w:w="1440"/>
          </w:tcPr>
          <w:p>
            <w:r>
              <w:rPr>
                <w:rFonts w:ascii="Calibri" w:hAnsi="Calibri"/>
                <w:sz w:val="22"/>
              </w:rPr>
              <w:t>Volatility drives DARTs; PDT rule elimination positive for retail frequency</w:t>
            </w:r>
          </w:p>
        </w:tc>
        <w:tc>
          <w:tcPr>
            <w:tcW w:type="dxa" w:w="1440"/>
          </w:tcPr>
          <w:p>
            <w:r>
              <w:rPr>
                <w:rFonts w:ascii="Calibri" w:hAnsi="Calibri"/>
                <w:sz w:val="22"/>
              </w:rPr>
              <w:t>N/A (qualitative only)</w:t>
            </w:r>
          </w:p>
        </w:tc>
      </w:tr>
      <w:tr>
        <w:tc>
          <w:tcPr>
            <w:tcW w:type="dxa" w:w="1440"/>
          </w:tcPr>
          <w:p>
            <w:r>
              <w:rPr>
                <w:rFonts w:ascii="Calibri" w:hAnsi="Calibri"/>
                <w:sz w:val="22"/>
              </w:rPr>
              <w:t>Net Interest Income — Q2 2026</w:t>
            </w:r>
          </w:p>
        </w:tc>
        <w:tc>
          <w:tcPr>
            <w:tcW w:type="dxa" w:w="1440"/>
          </w:tcPr>
          <w:p>
            <w:r>
              <w:rPr>
                <w:rFonts w:ascii="Calibri" w:hAnsi="Calibri"/>
                <w:sz w:val="22"/>
              </w:rPr>
              <w:t>$947M</w:t>
            </w:r>
          </w:p>
        </w:tc>
        <w:tc>
          <w:tcPr>
            <w:tcW w:type="dxa" w:w="1440"/>
          </w:tcPr>
          <w:p>
            <w:r>
              <w:rPr>
                <w:rFonts w:ascii="Calibri" w:hAnsi="Calibri"/>
                <w:sz w:val="22"/>
              </w:rPr>
              <w:t>$975M</w:t>
            </w:r>
          </w:p>
        </w:tc>
        <w:tc>
          <w:tcPr>
            <w:tcW w:type="dxa" w:w="1440"/>
          </w:tcPr>
          <w:p>
            <w:r>
              <w:rPr>
                <w:rFonts w:ascii="Calibri" w:hAnsi="Calibri"/>
                <w:b/>
                <w:color w:val="30A46C"/>
                <w:sz w:val="22"/>
              </w:rPr>
              <w:t>+3.0%</w:t>
            </w:r>
          </w:p>
        </w:tc>
        <w:tc>
          <w:tcPr>
            <w:tcW w:type="dxa" w:w="1440"/>
          </w:tcPr>
          <w:p>
            <w:r>
              <w:rPr>
                <w:rFonts w:ascii="Calibri" w:hAnsi="Calibri"/>
                <w:sz w:val="22"/>
              </w:rPr>
              <w:t>−25bp Fed = −$80M annual NII; balance sheet growth partially offsets</w:t>
            </w:r>
          </w:p>
        </w:tc>
        <w:tc>
          <w:tcPr>
            <w:tcW w:type="dxa" w:w="1440"/>
          </w:tcPr>
          <w:p>
            <w:r>
              <w:rPr>
                <w:rFonts w:ascii="Calibri" w:hAnsi="Calibri"/>
                <w:sz w:val="22"/>
              </w:rPr>
              <w:t>N/A (sensitivity only)</w:t>
            </w:r>
          </w:p>
        </w:tc>
      </w:tr>
    </w:tbl>
    <w:p>
      <w:r>
        <w:rPr>
          <w:rFonts w:ascii="Calibri" w:hAnsi="Calibri"/>
          <w:color w:val="525866"/>
          <w:sz w:val="22"/>
        </w:rPr>
        <w:t>Estimates have moved consistently higher across all KPIs since the Q1 2026 print, with DARTs showing the largest upward revision (+8.1%) — likely reflecting the PDT rule elimination and strong peer commentary on retail trading volumes in April–June. The revision trajectory is constructive, but the magnitude of upward moves means the bar has risen materially since the last print.</w:t>
      </w:r>
    </w:p>
    <w:p>
      <w:r>
        <w:rPr>
          <w:rFonts w:ascii="Calibri" w:hAnsi="Calibri"/>
          <w:color w:val="525866"/>
          <w:sz w:val="22"/>
        </w:rPr>
        <w:t>Source: Visible Alpha Consensus and Actuals Data (revision history table, weekly frequency, May 1 – July 20,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IBKR has significantly outperformed both XLF and the S&amp;P 500 since the Q1 2026 earnings print, with the bulk of the gain driven by a combination of upward estimate revisions and multiple expansion. At ~32.6x NTM P/E, the stock is pricing in continued execution — leaving it vulnerable to any guidance disappointment.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IBKR vs. XLF vs. S&amp;P 500 — Indexed to 100 at Q1 2026 Earnings (April 21, 2026). Source: Yahoo Finance / Stock Price Data.</w:t>
      </w:r>
    </w:p>
    <w:p>
      <w:pPr>
        <w:pStyle w:val="Heading3"/>
      </w:pPr>
      <w:r>
        <w:rPr>
          <w:rFonts w:ascii="Calibri" w:hAnsi="Calibri"/>
          <w:b/>
          <w:color w:val="3B4259"/>
          <w:sz w:val="24"/>
        </w:rPr>
        <w:t>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1 Month Ago</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NTM P/E</w:t>
            </w:r>
          </w:p>
        </w:tc>
        <w:tc>
          <w:tcPr>
            <w:tcW w:type="dxa" w:w="1728"/>
          </w:tcPr>
          <w:p>
            <w:r>
              <w:rPr>
                <w:rFonts w:ascii="Calibri" w:hAnsi="Calibri"/>
                <w:sz w:val="22"/>
              </w:rPr>
              <w:t>32.6x</w:t>
            </w:r>
          </w:p>
        </w:tc>
        <w:tc>
          <w:tcPr>
            <w:tcW w:type="dxa" w:w="1728"/>
          </w:tcPr>
          <w:p>
            <w:r>
              <w:rPr>
                <w:rFonts w:ascii="Calibri" w:hAnsi="Calibri"/>
                <w:sz w:val="22"/>
              </w:rPr>
              <w:t>35.1x</w:t>
            </w:r>
          </w:p>
        </w:tc>
        <w:tc>
          <w:tcPr>
            <w:tcW w:type="dxa" w:w="1728"/>
          </w:tcPr>
          <w:p>
            <w:r>
              <w:rPr>
                <w:rFonts w:ascii="Calibri" w:hAnsi="Calibri"/>
                <w:sz w:val="22"/>
              </w:rPr>
              <w:t>30.9x</w:t>
            </w:r>
          </w:p>
        </w:tc>
        <w:tc>
          <w:tcPr>
            <w:tcW w:type="dxa" w:w="1728"/>
          </w:tcPr>
          <w:p>
            <w:r>
              <w:rPr>
                <w:rFonts w:ascii="Calibri" w:hAnsi="Calibri"/>
                <w:sz w:val="22"/>
              </w:rPr>
              <w:t>30.0x</w:t>
            </w:r>
          </w:p>
        </w:tc>
      </w:tr>
      <w:tr>
        <w:tc>
          <w:tcPr>
            <w:tcW w:type="dxa" w:w="1728"/>
          </w:tcPr>
          <w:p>
            <w:r>
              <w:rPr>
                <w:rFonts w:ascii="Calibri" w:hAnsi="Calibri"/>
                <w:sz w:val="22"/>
              </w:rPr>
              <w:t>NTM P/Book</w:t>
            </w:r>
          </w:p>
        </w:tc>
        <w:tc>
          <w:tcPr>
            <w:tcW w:type="dxa" w:w="1728"/>
          </w:tcPr>
          <w:p>
            <w:r>
              <w:rPr>
                <w:rFonts w:ascii="Calibri" w:hAnsi="Calibri"/>
                <w:sz w:val="22"/>
              </w:rPr>
              <w:t>5.49x</w:t>
            </w:r>
          </w:p>
        </w:tc>
        <w:tc>
          <w:tcPr>
            <w:tcW w:type="dxa" w:w="1728"/>
          </w:tcPr>
          <w:p>
            <w:r>
              <w:rPr>
                <w:rFonts w:ascii="Calibri" w:hAnsi="Calibri"/>
                <w:sz w:val="22"/>
              </w:rPr>
              <w:t>5.70x</w:t>
            </w:r>
          </w:p>
        </w:tc>
        <w:tc>
          <w:tcPr>
            <w:tcW w:type="dxa" w:w="1728"/>
          </w:tcPr>
          <w:p>
            <w:r>
              <w:rPr>
                <w:rFonts w:ascii="Calibri" w:hAnsi="Calibri"/>
                <w:sz w:val="22"/>
              </w:rPr>
              <w:t>5.28x</w:t>
            </w:r>
          </w:p>
        </w:tc>
        <w:tc>
          <w:tcPr>
            <w:tcW w:type="dxa" w:w="1728"/>
          </w:tcPr>
          <w:p>
            <w:r>
              <w:rPr>
                <w:rFonts w:ascii="Calibri" w:hAnsi="Calibri"/>
                <w:sz w:val="22"/>
              </w:rPr>
              <w:t>4.54x</w:t>
            </w:r>
          </w:p>
        </w:tc>
      </w:tr>
      <w:tr>
        <w:tc>
          <w:tcPr>
            <w:tcW w:type="dxa" w:w="1728"/>
          </w:tcPr>
          <w:p>
            <w:r>
              <w:rPr>
                <w:rFonts w:ascii="Calibri" w:hAnsi="Calibri"/>
                <w:sz w:val="22"/>
              </w:rPr>
              <w:t>NTM P/Sales</w:t>
            </w:r>
          </w:p>
        </w:tc>
        <w:tc>
          <w:tcPr>
            <w:tcW w:type="dxa" w:w="1728"/>
          </w:tcPr>
          <w:p>
            <w:r>
              <w:rPr>
                <w:rFonts w:ascii="Calibri" w:hAnsi="Calibri"/>
                <w:sz w:val="22"/>
              </w:rPr>
              <w:t>5.38x</w:t>
            </w:r>
          </w:p>
        </w:tc>
        <w:tc>
          <w:tcPr>
            <w:tcW w:type="dxa" w:w="1728"/>
          </w:tcPr>
          <w:p>
            <w:r>
              <w:rPr>
                <w:rFonts w:ascii="Calibri" w:hAnsi="Calibri"/>
                <w:sz w:val="22"/>
              </w:rPr>
              <w:t>5.78x</w:t>
            </w:r>
          </w:p>
        </w:tc>
        <w:tc>
          <w:tcPr>
            <w:tcW w:type="dxa" w:w="1728"/>
          </w:tcPr>
          <w:p>
            <w:r>
              <w:rPr>
                <w:rFonts w:ascii="Calibri" w:hAnsi="Calibri"/>
                <w:sz w:val="22"/>
              </w:rPr>
              <w:t>5.11x</w:t>
            </w:r>
          </w:p>
        </w:tc>
        <w:tc>
          <w:tcPr>
            <w:tcW w:type="dxa" w:w="1728"/>
          </w:tcPr>
          <w:p>
            <w:r>
              <w:rPr>
                <w:rFonts w:ascii="Calibri" w:hAnsi="Calibri"/>
                <w:sz w:val="22"/>
              </w:rPr>
              <w:t>4.62x</w:t>
            </w:r>
          </w:p>
        </w:tc>
      </w:tr>
      <w:tr>
        <w:tc>
          <w:tcPr>
            <w:tcW w:type="dxa" w:w="1728"/>
          </w:tcPr>
          <w:p>
            <w:r>
              <w:rPr>
                <w:rFonts w:ascii="Calibri" w:hAnsi="Calibri"/>
                <w:sz w:val="22"/>
              </w:rPr>
              <w:t>Stock Price (IBKR)</w:t>
            </w:r>
          </w:p>
        </w:tc>
        <w:tc>
          <w:tcPr>
            <w:tcW w:type="dxa" w:w="1728"/>
          </w:tcPr>
          <w:p>
            <w:r>
              <w:rPr>
                <w:rFonts w:ascii="Calibri" w:hAnsi="Calibri"/>
                <w:sz w:val="22"/>
              </w:rPr>
              <w:t>$91.68</w:t>
            </w:r>
          </w:p>
        </w:tc>
        <w:tc>
          <w:tcPr>
            <w:tcW w:type="dxa" w:w="1728"/>
          </w:tcPr>
          <w:p>
            <w:r>
              <w:rPr>
                <w:rFonts w:ascii="Calibri" w:hAnsi="Calibri"/>
                <w:sz w:val="22"/>
              </w:rPr>
              <w:t>~$95.00</w:t>
            </w:r>
          </w:p>
        </w:tc>
        <w:tc>
          <w:tcPr>
            <w:tcW w:type="dxa" w:w="1728"/>
          </w:tcPr>
          <w:p>
            <w:r>
              <w:rPr>
                <w:rFonts w:ascii="Calibri" w:hAnsi="Calibri"/>
                <w:sz w:val="22"/>
              </w:rPr>
              <w:t>~$81.72</w:t>
            </w:r>
          </w:p>
        </w:tc>
        <w:tc>
          <w:tcPr>
            <w:tcW w:type="dxa" w:w="1728"/>
          </w:tcPr>
          <w:p>
            <w:r>
              <w:rPr>
                <w:rFonts w:ascii="Calibri" w:hAnsi="Calibri"/>
                <w:sz w:val="22"/>
              </w:rPr>
              <w:t>~$59.40</w:t>
            </w:r>
          </w:p>
        </w:tc>
      </w:tr>
    </w:tbl>
    <w:p>
      <w:r>
        <w:rPr>
          <w:rFonts w:ascii="Calibri" w:hAnsi="Calibri"/>
          <w:b/>
          <w:color w:val="525866"/>
          <w:sz w:val="22"/>
        </w:rPr>
        <w:t xml:space="preserve">Performance Summary: </w:t>
      </w:r>
      <w:r>
        <w:rPr>
          <w:rFonts w:ascii="Calibri" w:hAnsi="Calibri"/>
          <w:color w:val="525866"/>
          <w:sz w:val="22"/>
        </w:rPr>
        <w:t>Since the Q1 2026 earnings date (April 21, 2026), IBKR is up approximately +15.1% (from $79.62 to $91.68), versus XLF +7.1% and S&amp;P 500 +5.4% over the same period. The 12-month gain of +54.3% has been driven by both earnings growth and multiple expansion (+8.7% on NTM P/E). The stock pulled back ~6% from its recent high of ~$97 in mid-July, providing a slightly less stretched entry into the print.</w:t>
      </w:r>
    </w:p>
    <w:p>
      <w:r>
        <w:rPr>
          <w:rFonts w:ascii="Calibri" w:hAnsi="Calibri"/>
          <w:color w:val="525866"/>
          <w:sz w:val="22"/>
        </w:rPr>
        <w:t>Source: Yahoo Finance / Stock Price Data; Visible Alpha Consensus and Actuals Data (NTM multiples).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SEC’s elimination of the Pattern Day Trader rule on June 4, which directly expands IBKR’s addressable retail trading opportunity and could drive incremental DARTs and account engagement in Q2 and beyond.</w:t>
      </w:r>
    </w:p>
    <w:p>
      <w:pPr>
        <w:pStyle w:val="ListBullet"/>
        <w:ind w:left="360" w:hanging="360"/>
      </w:pPr>
      <w:r>
        <w:rPr>
          <w:rFonts w:ascii="Calibri" w:hAnsi="Calibri"/>
          <w:b/>
          <w:color w:val="525866"/>
          <w:sz w:val="22"/>
        </w:rPr>
        <w:t>June 4, 2026 — Pattern Day Trader (PDT) Rule Eliminated by SEC.</w:t>
      </w:r>
      <w:r>
        <w:rPr>
          <w:rFonts w:ascii="Calibri" w:hAnsi="Calibri"/>
          <w:color w:val="525866"/>
          <w:sz w:val="22"/>
        </w:rPr>
        <w:t xml:space="preserve"> The SEC replaced the outdated PDT rule (which required $25K minimum equity for frequent day trading) with a risk-based, real-time intraday margin system. IBKR management called this an “opportunity” on the Q1 call, noting that the majority of IBKR accounts are individual and many are smaller accounts that will now be able to trade more frequently. </w:t>
      </w:r>
      <w:r>
        <w:rPr>
          <w:rFonts w:ascii="Calibri" w:hAnsi="Calibri"/>
          <w:b/>
          <w:color w:val="525866"/>
          <w:sz w:val="22"/>
        </w:rPr>
        <w:t xml:space="preserve">Implication: </w:t>
      </w:r>
      <w:r>
        <w:rPr>
          <w:rFonts w:ascii="Calibri" w:hAnsi="Calibri"/>
          <w:color w:val="525866"/>
          <w:sz w:val="22"/>
        </w:rPr>
        <w:t>Potential uplift to DARTs and retail account engagement beginning in Q2; management likely to quantify early impact on the earnings call.</w:t>
      </w:r>
    </w:p>
    <w:p>
      <w:pPr>
        <w:pStyle w:val="ListBullet"/>
        <w:ind w:left="360" w:hanging="360"/>
      </w:pPr>
      <w:r>
        <w:rPr>
          <w:rFonts w:ascii="Calibri" w:hAnsi="Calibri"/>
          <w:b/>
          <w:color w:val="525866"/>
          <w:sz w:val="22"/>
        </w:rPr>
        <w:t>April 21, 2026 — Dividend Raised from $0.32 to $0.35/year.</w:t>
      </w:r>
      <w:r>
        <w:rPr>
          <w:rFonts w:ascii="Calibri" w:hAnsi="Calibri"/>
          <w:color w:val="525866"/>
          <w:sz w:val="22"/>
        </w:rPr>
        <w:t xml:space="preserve"> IBKR’s Board declared an increase in the quarterly cash dividend from $0.08 to $0.0875 per share, payable June 12, 2026. </w:t>
      </w:r>
      <w:r>
        <w:rPr>
          <w:rFonts w:ascii="Calibri" w:hAnsi="Calibri"/>
          <w:b/>
          <w:color w:val="525866"/>
          <w:sz w:val="22"/>
        </w:rPr>
        <w:t xml:space="preserve">Implication: </w:t>
      </w:r>
      <w:r>
        <w:rPr>
          <w:rFonts w:ascii="Calibri" w:hAnsi="Calibri"/>
          <w:color w:val="525866"/>
          <w:sz w:val="22"/>
        </w:rPr>
        <w:t>Signals management confidence in the business model, capital base, and growth trajectory heading into Q2.</w:t>
      </w:r>
    </w:p>
    <w:p>
      <w:pPr>
        <w:pStyle w:val="ListBullet"/>
        <w:ind w:left="360" w:hanging="360"/>
      </w:pPr>
      <w:r>
        <w:rPr>
          <w:rFonts w:ascii="Calibri" w:hAnsi="Calibri"/>
          <w:b/>
          <w:color w:val="525866"/>
          <w:sz w:val="22"/>
        </w:rPr>
        <w:t>Q2 2026 — Crypto Expansion Continues.</w:t>
      </w:r>
      <w:r>
        <w:rPr>
          <w:rFonts w:ascii="Calibri" w:hAnsi="Calibri"/>
          <w:color w:val="525866"/>
          <w:sz w:val="22"/>
        </w:rPr>
        <w:t xml:space="preserve"> IBKR expanded its crypto offering to clients in the EEA (soft launch underway), introduced crypto transfer-in capabilities, and launched access to the Coinbase Derivatives Exchange for nano-sized and perpetual futures contracts. Staking capabilities in development via Zero Hash. </w:t>
      </w:r>
      <w:r>
        <w:rPr>
          <w:rFonts w:ascii="Calibri" w:hAnsi="Calibri"/>
          <w:b/>
          <w:color w:val="525866"/>
          <w:sz w:val="22"/>
        </w:rPr>
        <w:t xml:space="preserve">Implication: </w:t>
      </w:r>
      <w:r>
        <w:rPr>
          <w:rFonts w:ascii="Calibri" w:hAnsi="Calibri"/>
          <w:color w:val="525866"/>
          <w:sz w:val="22"/>
        </w:rPr>
        <w:t>Incremental revenue opportunity; management noted strong inflows from both U.S. and international clients.</w:t>
      </w:r>
    </w:p>
    <w:p>
      <w:pPr>
        <w:pStyle w:val="ListBullet"/>
        <w:ind w:left="360" w:hanging="360"/>
      </w:pPr>
      <w:r>
        <w:rPr>
          <w:rFonts w:ascii="Calibri" w:hAnsi="Calibri"/>
          <w:b/>
          <w:color w:val="525866"/>
          <w:sz w:val="22"/>
        </w:rPr>
        <w:t>Q2 2026 — ForecastEx (Prediction Markets) Gaining Institutional Traction.</w:t>
      </w:r>
      <w:r>
        <w:rPr>
          <w:rFonts w:ascii="Calibri" w:hAnsi="Calibri"/>
          <w:color w:val="525866"/>
          <w:sz w:val="22"/>
        </w:rPr>
        <w:t xml:space="preserve"> Management noted on the Q1 call that ForecastEx is receiving “more and more inquiries” from institutions that previously swore they would never enter prediction markets. The Election Board tool was launched ahead of the 2026 midterms. </w:t>
      </w:r>
      <w:r>
        <w:rPr>
          <w:rFonts w:ascii="Calibri" w:hAnsi="Calibri"/>
          <w:b/>
          <w:color w:val="525866"/>
          <w:sz w:val="22"/>
        </w:rPr>
        <w:t xml:space="preserve">Implication: </w:t>
      </w:r>
      <w:r>
        <w:rPr>
          <w:rFonts w:ascii="Calibri" w:hAnsi="Calibri"/>
          <w:color w:val="525866"/>
          <w:sz w:val="22"/>
        </w:rPr>
        <w:t>Potential new revenue stream; however, Robinhood’s announcement of its own prediction market JV (with Susquehanna) and plans to move flow away from partners is a competitive watch item.</w:t>
      </w:r>
    </w:p>
    <w:p>
      <w:pPr>
        <w:pStyle w:val="ListBullet"/>
        <w:ind w:left="360" w:hanging="360"/>
      </w:pPr>
      <w:r>
        <w:rPr>
          <w:rFonts w:ascii="Calibri" w:hAnsi="Calibri"/>
          <w:b/>
          <w:color w:val="525866"/>
          <w:sz w:val="22"/>
        </w:rPr>
        <w:t>Q2 2026 — Introducing Broker Pipeline Remains “Exceptionally Strong.”</w:t>
      </w:r>
      <w:r>
        <w:rPr>
          <w:rFonts w:ascii="Calibri" w:hAnsi="Calibri"/>
          <w:color w:val="525866"/>
          <w:sz w:val="22"/>
        </w:rPr>
        <w:t xml:space="preserve"> Management described the IB pipeline as robust, with ongoing onboarding of new introducing brokers and support for existing ones. High Touch Prime Brokerage gaining traction with referrals from existing hedge fund clients. </w:t>
      </w:r>
      <w:r>
        <w:rPr>
          <w:rFonts w:ascii="Calibri" w:hAnsi="Calibri"/>
          <w:b/>
          <w:color w:val="525866"/>
          <w:sz w:val="22"/>
        </w:rPr>
        <w:t xml:space="preserve">Implication: </w:t>
      </w:r>
      <w:r>
        <w:rPr>
          <w:rFonts w:ascii="Calibri" w:hAnsi="Calibri"/>
          <w:color w:val="525866"/>
          <w:sz w:val="22"/>
        </w:rPr>
        <w:t>Supports continued account and AUM growth trajectory.</w:t>
      </w:r>
    </w:p>
    <w:p>
      <w:pPr>
        <w:pStyle w:val="ListBullet"/>
        <w:ind w:left="360" w:hanging="360"/>
      </w:pPr>
      <w:r>
        <w:rPr>
          <w:rFonts w:ascii="Calibri" w:hAnsi="Calibri"/>
          <w:b/>
          <w:color w:val="525866"/>
          <w:sz w:val="22"/>
        </w:rPr>
        <w:t>Q2 2026 — AI Integration Expanding.</w:t>
      </w:r>
      <w:r>
        <w:rPr>
          <w:rFonts w:ascii="Calibri" w:hAnsi="Calibri"/>
          <w:color w:val="525866"/>
          <w:sz w:val="22"/>
        </w:rPr>
        <w:t xml:space="preserve"> Management stated that expanding AI use remains a priority across the firm, both for client experience and internal efficiency, with “significant opportunities to extend it further.” </w:t>
      </w:r>
      <w:r>
        <w:rPr>
          <w:rFonts w:ascii="Calibri" w:hAnsi="Calibri"/>
          <w:b/>
          <w:color w:val="525866"/>
          <w:sz w:val="22"/>
        </w:rPr>
        <w:t xml:space="preserve">Implication: </w:t>
      </w:r>
      <w:r>
        <w:rPr>
          <w:rFonts w:ascii="Calibri" w:hAnsi="Calibri"/>
          <w:color w:val="525866"/>
          <w:sz w:val="22"/>
        </w:rPr>
        <w:t>Longer-term efficiency and product innovation driver; not a near-term earnings catalyst.</w:t>
      </w:r>
    </w:p>
    <w:p>
      <w:pPr>
        <w:pStyle w:val="ListBullet"/>
        <w:ind w:left="360" w:hanging="360"/>
      </w:pPr>
      <w:r>
        <w:rPr>
          <w:rFonts w:ascii="Calibri" w:hAnsi="Calibri"/>
          <w:b/>
          <w:color w:val="525866"/>
          <w:sz w:val="22"/>
        </w:rPr>
        <w:t>June 30, 2026 — Q2 2026 Earnings Call Announced.</w:t>
      </w:r>
      <w:r>
        <w:rPr>
          <w:rFonts w:ascii="Calibri" w:hAnsi="Calibri"/>
          <w:color w:val="525866"/>
          <w:sz w:val="22"/>
        </w:rPr>
        <w:t xml:space="preserve"> IBKR announced its Q2 2026 earnings conference call for July 21, 2026 at 4:30 PM ET.</w:t>
      </w:r>
    </w:p>
    <w:p>
      <w:r>
        <w:br w:type="page"/>
      </w:r>
    </w:p>
    <w:p>
      <w:pPr>
        <w:pStyle w:val="Heading2"/>
      </w:pPr>
      <w:r>
        <w:rPr>
          <w:rFonts w:ascii="Calibri" w:hAnsi="Calibri"/>
          <w:b/>
          <w:color w:val="3B4259"/>
          <w:sz w:val="28"/>
        </w:rPr>
        <w:t>Peer Commentary: Current-Quarter Read-Throughs (Q2 2026)</w:t>
      </w:r>
    </w:p>
    <w:p>
      <w:r>
        <w:rPr>
          <w:rFonts w:ascii="Calibri" w:hAnsi="Calibri"/>
          <w:b/>
          <w:color w:val="525866"/>
          <w:sz w:val="22"/>
        </w:rPr>
        <w:t xml:space="preserve">Key Takeaway: </w:t>
      </w:r>
      <w:r>
        <w:rPr>
          <w:rFonts w:ascii="Calibri" w:hAnsi="Calibri"/>
          <w:color w:val="525866"/>
          <w:sz w:val="22"/>
        </w:rPr>
        <w:t>Peer commentary from Robinhood (June 4 and May 27) and Raymond James (May 27) provides strong positive read-throughs for IBKR’s Q2 2026 — retail trading volumes were record or near-record in April–June, margin balances are at all-time highs, and the PDT rule elimination is expected to be broadly industry-positive. The primary competitive watch item is Robinhood’s stated intention to move prediction market flow away from partners including ForecastEx.</w:t>
      </w:r>
    </w:p>
    <w:p>
      <w:pPr>
        <w:pStyle w:val="Heading3"/>
      </w:pPr>
      <w:r>
        <w:rPr>
          <w:rFonts w:ascii="Calibri" w:hAnsi="Calibri"/>
          <w:b/>
          <w:color w:val="3B4259"/>
          <w:sz w:val="24"/>
        </w:rPr>
        <w:t>Robinhood (HOOD) — Piper Sandler Global Exchange &amp; Fintech Conference, June 4, 2026</w:t>
      </w:r>
    </w:p>
    <w:p>
      <w:pPr>
        <w:pStyle w:val="ListBullet"/>
        <w:ind w:left="360" w:hanging="360"/>
      </w:pPr>
      <w:r>
        <w:rPr>
          <w:rFonts w:ascii="Calibri" w:hAnsi="Calibri"/>
          <w:b/>
          <w:color w:val="525866"/>
          <w:sz w:val="22"/>
        </w:rPr>
        <w:t>Retail Trading Volumes: Record or Near-Record in Q2 2026.</w:t>
      </w:r>
      <w:r>
        <w:rPr>
          <w:rFonts w:ascii="Calibri" w:hAnsi="Calibri"/>
          <w:color w:val="525866"/>
          <w:sz w:val="22"/>
        </w:rPr>
        <w:t xml:space="preserve"> HOOD’s Chief Brokerage Officer Steven Quirk stated that April was Robinhood’s “second highest month in equity trading, option trading, highest month in futures and in prediction markets.” May was described as “Upper case strong.” June 1 was “our biggest day ever in equity trading” and also the biggest day in the overnight session. </w:t>
      </w:r>
      <w:r>
        <w:rPr>
          <w:rFonts w:ascii="Calibri" w:hAnsi="Calibri"/>
          <w:b/>
          <w:color w:val="525866"/>
          <w:sz w:val="22"/>
        </w:rPr>
        <w:t xml:space="preserve">IBKR Read-Through: </w:t>
      </w:r>
      <w:r>
        <w:rPr>
          <w:rFonts w:ascii="Calibri" w:hAnsi="Calibri"/>
          <w:color w:val="525866"/>
          <w:sz w:val="22"/>
        </w:rPr>
        <w:t>Strongly positive. These comments directly cover April–June 2026 (IBKR’s Q2). Record retail volumes at Robinhood suggest a robust trading environment that should also benefit IBKR’s DARTs and commission revenue. Volumes were described as “strong” but “more balanced” rather than aggressively directional, suggesting sustained engagement rather than speculative spikes.</w:t>
      </w:r>
    </w:p>
    <w:p>
      <w:pPr>
        <w:pStyle w:val="ListBullet"/>
        <w:ind w:left="360" w:hanging="360"/>
      </w:pPr>
      <w:r>
        <w:rPr>
          <w:rFonts w:ascii="Calibri" w:hAnsi="Calibri"/>
          <w:b/>
          <w:color w:val="525866"/>
          <w:sz w:val="22"/>
        </w:rPr>
        <w:t>PDT Rule Eliminated June 4 — “Pretty Monumental” Impact.</w:t>
      </w:r>
      <w:r>
        <w:rPr>
          <w:rFonts w:ascii="Calibri" w:hAnsi="Calibri"/>
          <w:color w:val="525866"/>
          <w:sz w:val="22"/>
        </w:rPr>
        <w:t xml:space="preserve"> Quirk confirmed the PDT rule was “removed today” (June 4). He expects the impact to be “pretty monumental with existing customers” and anticipates customers who previously left due to the rule may “migrate back.” He called it “really beneficial for the industry as a whole.” </w:t>
      </w:r>
      <w:r>
        <w:rPr>
          <w:rFonts w:ascii="Calibri" w:hAnsi="Calibri"/>
          <w:b/>
          <w:color w:val="525866"/>
          <w:sz w:val="22"/>
        </w:rPr>
        <w:t xml:space="preserve">IBKR Read-Through: </w:t>
      </w:r>
      <w:r>
        <w:rPr>
          <w:rFonts w:ascii="Calibri" w:hAnsi="Calibri"/>
          <w:color w:val="525866"/>
          <w:sz w:val="22"/>
        </w:rPr>
        <w:t>Positive. IBKR management also flagged this as an opportunity on the Q1 call. The industry-wide benefit should support incremental DARTs and account activity at IBKR, particularly for smaller retail accounts.</w:t>
      </w:r>
    </w:p>
    <w:p>
      <w:pPr>
        <w:pStyle w:val="ListBullet"/>
        <w:ind w:left="360" w:hanging="360"/>
      </w:pPr>
      <w:r>
        <w:rPr>
          <w:rFonts w:ascii="Calibri" w:hAnsi="Calibri"/>
          <w:b/>
          <w:color w:val="525866"/>
          <w:sz w:val="22"/>
        </w:rPr>
        <w:t>Prediction Markets — Robinhood Moving Flow Away from Partners.</w:t>
      </w:r>
      <w:r>
        <w:rPr>
          <w:rFonts w:ascii="Calibri" w:hAnsi="Calibri"/>
          <w:color w:val="525866"/>
          <w:sz w:val="22"/>
        </w:rPr>
        <w:t xml:space="preserve"> Robinhood’s Roth IRA prediction market JV with Susquehanna went live June 4. Quirk stated they plan to “move a significant portion” of prediction market flow from Kalshi and other partners (including ForecastEx/IBKR), though they will “keep other routing partners.” </w:t>
      </w:r>
      <w:r>
        <w:rPr>
          <w:rFonts w:ascii="Calibri" w:hAnsi="Calibri"/>
          <w:b/>
          <w:color w:val="525866"/>
          <w:sz w:val="22"/>
        </w:rPr>
        <w:t xml:space="preserve">IBKR Read-Through: </w:t>
      </w:r>
      <w:r>
        <w:rPr>
          <w:rFonts w:ascii="Calibri" w:hAnsi="Calibri"/>
          <w:color w:val="525866"/>
          <w:sz w:val="22"/>
        </w:rPr>
        <w:t>Negative watch item. Could reduce IBKR’s ForecastEx revenue from Robinhood-routed flow. Magnitude unclear; management likely to address on the Q2 call.</w:t>
      </w:r>
    </w:p>
    <w:p>
      <w:pPr>
        <w:pStyle w:val="ListBullet"/>
        <w:ind w:left="360" w:hanging="360"/>
      </w:pPr>
      <w:r>
        <w:rPr>
          <w:rFonts w:ascii="Calibri" w:hAnsi="Calibri"/>
          <w:b/>
          <w:color w:val="525866"/>
          <w:sz w:val="22"/>
        </w:rPr>
        <w:t>Agentic AI Trading Launched.</w:t>
      </w:r>
      <w:r>
        <w:rPr>
          <w:rFonts w:ascii="Calibri" w:hAnsi="Calibri"/>
          <w:color w:val="525866"/>
          <w:sz w:val="22"/>
        </w:rPr>
        <w:t xml:space="preserve"> Robinhood launched AI-powered “agentic trading” the week prior to June 4, initially for equities, with plans to expand to options, crypto, and event contracts. </w:t>
      </w:r>
      <w:r>
        <w:rPr>
          <w:rFonts w:ascii="Calibri" w:hAnsi="Calibri"/>
          <w:b/>
          <w:color w:val="525866"/>
          <w:sz w:val="22"/>
        </w:rPr>
        <w:t xml:space="preserve">IBKR Read-Through: </w:t>
      </w:r>
      <w:r>
        <w:rPr>
          <w:rFonts w:ascii="Calibri" w:hAnsi="Calibri"/>
          <w:color w:val="525866"/>
          <w:sz w:val="22"/>
        </w:rPr>
        <w:t>Competitive watch item. Robinhood’s AI-driven trading tools could increase engagement on its platform; IBKR’s own AI integration efforts are a key differentiator to monitor.</w:t>
      </w:r>
    </w:p>
    <w:p>
      <w:pPr>
        <w:pStyle w:val="ListBullet"/>
        <w:ind w:left="360" w:hanging="360"/>
      </w:pPr>
      <w:r>
        <w:rPr>
          <w:rFonts w:ascii="Calibri" w:hAnsi="Calibri"/>
          <w:b/>
          <w:color w:val="525866"/>
          <w:sz w:val="22"/>
        </w:rPr>
        <w:t>Banking &amp; Client Cash: $2.5B in Deposits, 40% Direct Deposit Adoption.</w:t>
      </w:r>
      <w:r>
        <w:rPr>
          <w:rFonts w:ascii="Calibri" w:hAnsi="Calibri"/>
          <w:color w:val="525866"/>
          <w:sz w:val="22"/>
        </w:rPr>
        <w:t xml:space="preserve"> Robinhood reported $2.5B in banking deposits and 800K cardholders as of early June, with 40% of new banking customers setting up direct deposit. </w:t>
      </w:r>
      <w:r>
        <w:rPr>
          <w:rFonts w:ascii="Calibri" w:hAnsi="Calibri"/>
          <w:b/>
          <w:color w:val="525866"/>
          <w:sz w:val="22"/>
        </w:rPr>
        <w:t xml:space="preserve">IBKR Read-Through: </w:t>
      </w:r>
      <w:r>
        <w:rPr>
          <w:rFonts w:ascii="Calibri" w:hAnsi="Calibri"/>
          <w:color w:val="525866"/>
          <w:sz w:val="22"/>
        </w:rPr>
        <w:t>Competitive context. Robinhood’s success in attracting client cash through banking products represents ongoing competition for uninvested cash balances, a key NII driver for IBKR.</w:t>
      </w:r>
    </w:p>
    <w:p>
      <w:pPr>
        <w:pStyle w:val="Heading3"/>
      </w:pPr>
      <w:r>
        <w:rPr>
          <w:rFonts w:ascii="Calibri" w:hAnsi="Calibri"/>
          <w:b/>
          <w:color w:val="3B4259"/>
          <w:sz w:val="24"/>
        </w:rPr>
        <w:t>Robinhood (HOOD) — Bernstein Strategic Decisions Conference, May 27, 2026</w:t>
      </w:r>
    </w:p>
    <w:p>
      <w:pPr>
        <w:pStyle w:val="ListBullet"/>
        <w:ind w:left="360" w:hanging="360"/>
      </w:pPr>
      <w:r>
        <w:rPr>
          <w:rFonts w:ascii="Calibri" w:hAnsi="Calibri"/>
          <w:b/>
          <w:color w:val="525866"/>
          <w:sz w:val="22"/>
        </w:rPr>
        <w:t>Options &amp; Equities Volumes: Second Highest Month Ever in April; May “Off to a Very Good Start.”</w:t>
      </w:r>
      <w:r>
        <w:rPr>
          <w:rFonts w:ascii="Calibri" w:hAnsi="Calibri"/>
          <w:color w:val="525866"/>
          <w:sz w:val="22"/>
        </w:rPr>
        <w:t xml:space="preserve"> CFO Shiv Verma confirmed April 2026 was Robinhood’s “second highest trading month ever” for options and equities, with May starting “off to a very good start.” Take rates for options/equities “stabilized and come back up” to Q1 levels. </w:t>
      </w:r>
      <w:r>
        <w:rPr>
          <w:rFonts w:ascii="Calibri" w:hAnsi="Calibri"/>
          <w:b/>
          <w:color w:val="525866"/>
          <w:sz w:val="22"/>
        </w:rPr>
        <w:t xml:space="preserve">IBKR Read-Through: </w:t>
      </w:r>
      <w:r>
        <w:rPr>
          <w:rFonts w:ascii="Calibri" w:hAnsi="Calibri"/>
          <w:color w:val="525866"/>
          <w:sz w:val="22"/>
        </w:rPr>
        <w:t>Positive. Robust retail trading activity in April–May 2026 is directly applicable to IBKR’s Q2 DARTs and commission revenue.</w:t>
      </w:r>
    </w:p>
    <w:p>
      <w:pPr>
        <w:pStyle w:val="ListBullet"/>
        <w:ind w:left="360" w:hanging="360"/>
      </w:pPr>
      <w:r>
        <w:rPr>
          <w:rFonts w:ascii="Calibri" w:hAnsi="Calibri"/>
          <w:b/>
          <w:color w:val="525866"/>
          <w:sz w:val="22"/>
        </w:rPr>
        <w:t>Crypto Take Rate Stabilizing.</w:t>
      </w:r>
      <w:r>
        <w:rPr>
          <w:rFonts w:ascii="Calibri" w:hAnsi="Calibri"/>
          <w:color w:val="525866"/>
          <w:sz w:val="22"/>
        </w:rPr>
        <w:t xml:space="preserve"> Verma noted that the “casual trader stepped away” from crypto in Q1 and into April–May, while “the active trader and institutional trader is still there.” Crypto take rate was down ~7–8bp vs. Q1 quarter-to-date as of May 27, but “starting to stabilize.” </w:t>
      </w:r>
      <w:r>
        <w:rPr>
          <w:rFonts w:ascii="Calibri" w:hAnsi="Calibri"/>
          <w:b/>
          <w:color w:val="525866"/>
          <w:sz w:val="22"/>
        </w:rPr>
        <w:t xml:space="preserve">IBKR Read-Through: </w:t>
      </w:r>
      <w:r>
        <w:rPr>
          <w:rFonts w:ascii="Calibri" w:hAnsi="Calibri"/>
          <w:color w:val="525866"/>
          <w:sz w:val="22"/>
        </w:rPr>
        <w:t>Neutral to slightly positive. IBKR’s client base skews toward active and institutional traders, who remained engaged in crypto. The casual trader pullback is less relevant for IBKR’s mix.</w:t>
      </w:r>
    </w:p>
    <w:p>
      <w:pPr>
        <w:pStyle w:val="ListBullet"/>
        <w:ind w:left="360" w:hanging="360"/>
      </w:pPr>
      <w:r>
        <w:rPr>
          <w:rFonts w:ascii="Calibri" w:hAnsi="Calibri"/>
          <w:b/>
          <w:color w:val="525866"/>
          <w:sz w:val="22"/>
        </w:rPr>
        <w:t>Margin Book at All-Time High: $18B+.</w:t>
      </w:r>
      <w:r>
        <w:rPr>
          <w:rFonts w:ascii="Calibri" w:hAnsi="Calibri"/>
          <w:color w:val="525866"/>
          <w:sz w:val="22"/>
        </w:rPr>
        <w:t xml:space="preserve"> Robinhood’s margin book was “$18 billion plus, highest it’s ever been” as of May 27. </w:t>
      </w:r>
      <w:r>
        <w:rPr>
          <w:rFonts w:ascii="Calibri" w:hAnsi="Calibri"/>
          <w:b/>
          <w:color w:val="525866"/>
          <w:sz w:val="22"/>
        </w:rPr>
        <w:t xml:space="preserve">IBKR Read-Through: </w:t>
      </w:r>
      <w:r>
        <w:rPr>
          <w:rFonts w:ascii="Calibri" w:hAnsi="Calibri"/>
          <w:color w:val="525866"/>
          <w:sz w:val="22"/>
        </w:rPr>
        <w:t>Positive. Record margin balances at a peer suggest strong client confidence and willingness to leverage, consistent with IBKR’s own margin loan growth trajectory ($86.6B at Q1 end).</w:t>
      </w:r>
    </w:p>
    <w:p>
      <w:pPr>
        <w:pStyle w:val="ListBullet"/>
        <w:ind w:left="360" w:hanging="360"/>
      </w:pPr>
      <w:r>
        <w:rPr>
          <w:rFonts w:ascii="Calibri" w:hAnsi="Calibri"/>
          <w:b/>
          <w:color w:val="525866"/>
          <w:sz w:val="22"/>
        </w:rPr>
        <w:t>Net Deposits Growing 5x Peers; AUC ~$350B.</w:t>
      </w:r>
      <w:r>
        <w:rPr>
          <w:rFonts w:ascii="Calibri" w:hAnsi="Calibri"/>
          <w:color w:val="525866"/>
          <w:sz w:val="22"/>
        </w:rPr>
        <w:t xml:space="preserve"> Robinhood’s AUC was ~$350B as of late May, with net deposits growing at 5x the pace of peers. </w:t>
      </w:r>
      <w:r>
        <w:rPr>
          <w:rFonts w:ascii="Calibri" w:hAnsi="Calibri"/>
          <w:b/>
          <w:color w:val="525866"/>
          <w:sz w:val="22"/>
        </w:rPr>
        <w:t xml:space="preserve">IBKR Read-Through: </w:t>
      </w:r>
      <w:r>
        <w:rPr>
          <w:rFonts w:ascii="Calibri" w:hAnsi="Calibri"/>
          <w:color w:val="525866"/>
          <w:sz w:val="22"/>
        </w:rPr>
        <w:t>Competitive context. IBKR’s customer equity of $789B at Q1 end dwarfs Robinhood’s AUC, but Robinhood’s rapid growth rate is a competitive dynamic to monitor.</w:t>
      </w:r>
    </w:p>
    <w:p>
      <w:pPr>
        <w:pStyle w:val="ListBullet"/>
        <w:ind w:left="360" w:hanging="360"/>
      </w:pPr>
      <w:r>
        <w:rPr>
          <w:rFonts w:ascii="Calibri" w:hAnsi="Calibri"/>
          <w:b/>
          <w:color w:val="525866"/>
          <w:sz w:val="22"/>
        </w:rPr>
        <w:t>Organic Account Growth 7–10% Annually with Zero Marketing Spend.</w:t>
      </w:r>
      <w:r>
        <w:rPr>
          <w:rFonts w:ascii="Calibri" w:hAnsi="Calibri"/>
          <w:color w:val="525866"/>
          <w:sz w:val="22"/>
        </w:rPr>
        <w:t xml:space="preserve"> Robinhood’s organic account growth is “roughly 7% to 10% per year” with “0 marketing dollars.” Over 5 million sign-ups for Trump Accounts (custodial) before launch. </w:t>
      </w:r>
      <w:r>
        <w:rPr>
          <w:rFonts w:ascii="Calibri" w:hAnsi="Calibri"/>
          <w:b/>
          <w:color w:val="525866"/>
          <w:sz w:val="22"/>
        </w:rPr>
        <w:t xml:space="preserve">IBKR Read-Through: </w:t>
      </w:r>
      <w:r>
        <w:rPr>
          <w:rFonts w:ascii="Calibri" w:hAnsi="Calibri"/>
          <w:color w:val="525866"/>
          <w:sz w:val="22"/>
        </w:rPr>
        <w:t>Competitive context. IBKR’s account growth of 31% YoY significantly outpaces Robinhood’s organic rate, reflecting IBKR’s broader global and institutional reach.</w:t>
      </w:r>
    </w:p>
    <w:p>
      <w:pPr>
        <w:pStyle w:val="ListBullet"/>
        <w:ind w:left="360" w:hanging="360"/>
      </w:pPr>
      <w:r>
        <w:rPr>
          <w:rFonts w:ascii="Calibri" w:hAnsi="Calibri"/>
          <w:b/>
          <w:color w:val="525866"/>
          <w:sz w:val="22"/>
        </w:rPr>
        <w:t>Securities Lending: 25% of Customers, 50% of Assets Opted In; Balances Increasing.</w:t>
      </w:r>
      <w:r>
        <w:rPr>
          <w:rFonts w:ascii="Calibri" w:hAnsi="Calibri"/>
          <w:color w:val="525866"/>
          <w:sz w:val="22"/>
        </w:rPr>
        <w:t xml:space="preserve"> Robinhood reported healthy securities lending opt-in rates and increasing balances, with potential upside if rebate rates rebound or mega-cap IPOs drive special rates. </w:t>
      </w:r>
      <w:r>
        <w:rPr>
          <w:rFonts w:ascii="Calibri" w:hAnsi="Calibri"/>
          <w:b/>
          <w:color w:val="525866"/>
          <w:sz w:val="22"/>
        </w:rPr>
        <w:t xml:space="preserve">IBKR Read-Through: </w:t>
      </w:r>
      <w:r>
        <w:rPr>
          <w:rFonts w:ascii="Calibri" w:hAnsi="Calibri"/>
          <w:color w:val="525866"/>
          <w:sz w:val="22"/>
        </w:rPr>
        <w:t>Positive. Growing securities lending activity across the industry is a tailwind for IBKR’s own securities lending revenue.</w:t>
      </w:r>
    </w:p>
    <w:p>
      <w:pPr>
        <w:pStyle w:val="Heading3"/>
      </w:pPr>
      <w:r>
        <w:rPr>
          <w:rFonts w:ascii="Calibri" w:hAnsi="Calibri"/>
          <w:b/>
          <w:color w:val="3B4259"/>
          <w:sz w:val="24"/>
        </w:rPr>
        <w:t>Raymond James Financial (RJF) — 2026 Analyst &amp; Investor Day, May 27, 2026</w:t>
      </w:r>
    </w:p>
    <w:p>
      <w:pPr>
        <w:pStyle w:val="ListBullet"/>
        <w:ind w:left="360" w:hanging="360"/>
      </w:pPr>
      <w:r>
        <w:rPr>
          <w:rFonts w:ascii="Calibri" w:hAnsi="Calibri"/>
          <w:b/>
          <w:color w:val="525866"/>
          <w:sz w:val="22"/>
        </w:rPr>
        <w:t>Capital Markets Stabilizing; Mid-Teen Margins in 5 of Last 12 Months.</w:t>
      </w:r>
      <w:r>
        <w:rPr>
          <w:rFonts w:ascii="Calibri" w:hAnsi="Calibri"/>
          <w:color w:val="525866"/>
          <w:sz w:val="22"/>
        </w:rPr>
        <w:t xml:space="preserve"> Capital Markets President James Bunn noted Q1 2026 was a “weak margin quarter” but that the March quarter is “more reflective of a steady state.” He noted that in 5 of the last 12 months, capital markets margins were mid-teens or better, and in 3 months approached or exceeded 20%. </w:t>
      </w:r>
      <w:r>
        <w:rPr>
          <w:rFonts w:ascii="Calibri" w:hAnsi="Calibri"/>
          <w:b/>
          <w:color w:val="525866"/>
          <w:sz w:val="22"/>
        </w:rPr>
        <w:t xml:space="preserve">IBKR Read-Through: </w:t>
      </w:r>
      <w:r>
        <w:rPr>
          <w:rFonts w:ascii="Calibri" w:hAnsi="Calibri"/>
          <w:color w:val="525866"/>
          <w:sz w:val="22"/>
        </w:rPr>
        <w:t>Constructive. Stabilization in capital markets activity heading into Q2 2026 is a positive backdrop for IBKR’s trading volumes and brokerage revenues.</w:t>
      </w:r>
    </w:p>
    <w:p>
      <w:pPr>
        <w:pStyle w:val="ListBullet"/>
        <w:ind w:left="360" w:hanging="360"/>
      </w:pPr>
      <w:r>
        <w:rPr>
          <w:rFonts w:ascii="Calibri" w:hAnsi="Calibri"/>
          <w:b/>
          <w:color w:val="525866"/>
          <w:sz w:val="22"/>
        </w:rPr>
        <w:t>Securities-Based Lending (SBL) Growing 31% YoY.</w:t>
      </w:r>
      <w:r>
        <w:rPr>
          <w:rFonts w:ascii="Calibri" w:hAnsi="Calibri"/>
          <w:color w:val="525866"/>
          <w:sz w:val="22"/>
        </w:rPr>
        <w:t xml:space="preserve"> CEO Paul Shoukry highlighted SBL growth of over 31% year-over-year, with private banking loans making up ~$34B (roughly half the bank’s balance sheet) as of March 31, 2026. </w:t>
      </w:r>
      <w:r>
        <w:rPr>
          <w:rFonts w:ascii="Calibri" w:hAnsi="Calibri"/>
          <w:b/>
          <w:color w:val="525866"/>
          <w:sz w:val="22"/>
        </w:rPr>
        <w:t xml:space="preserve">IBKR Read-Through: </w:t>
      </w:r>
      <w:r>
        <w:rPr>
          <w:rFonts w:ascii="Calibri" w:hAnsi="Calibri"/>
          <w:color w:val="525866"/>
          <w:sz w:val="22"/>
        </w:rPr>
        <w:t>Positive. Strong industry-wide demand for margin and securities-based lending is consistent with IBKR’s own margin loan growth trajectory and supports the NII outlook.</w:t>
      </w:r>
    </w:p>
    <w:p>
      <w:pPr>
        <w:pStyle w:val="ListBullet"/>
        <w:ind w:left="360" w:hanging="360"/>
      </w:pPr>
      <w:r>
        <w:rPr>
          <w:rFonts w:ascii="Calibri" w:hAnsi="Calibri"/>
          <w:b/>
          <w:color w:val="525866"/>
          <w:sz w:val="22"/>
        </w:rPr>
        <w:t>Net New Assets: $54B in First 6 Months of Fiscal 2026; 7% YTD Growth.</w:t>
      </w:r>
      <w:r>
        <w:rPr>
          <w:rFonts w:ascii="Calibri" w:hAnsi="Calibri"/>
          <w:color w:val="525866"/>
          <w:sz w:val="22"/>
        </w:rPr>
        <w:t xml:space="preserve"> RJF reported $54B in domestic net new assets in the first half of fiscal 2026 (ending March 31), with net new asset growth of 7% year-to-date. Client sweep balances “stabilized over the past few years.” </w:t>
      </w:r>
      <w:r>
        <w:rPr>
          <w:rFonts w:ascii="Calibri" w:hAnsi="Calibri"/>
          <w:b/>
          <w:color w:val="525866"/>
          <w:sz w:val="22"/>
        </w:rPr>
        <w:t xml:space="preserve">IBKR Read-Through: </w:t>
      </w:r>
      <w:r>
        <w:rPr>
          <w:rFonts w:ascii="Calibri" w:hAnsi="Calibri"/>
          <w:color w:val="525866"/>
          <w:sz w:val="22"/>
        </w:rPr>
        <w:t>Positive. Strong asset gathering across the industry supports IBKR’s customer equity growth outlook. Stabilized sweep balances suggest client cash is being maintained rather than withdrawn.</w:t>
      </w:r>
    </w:p>
    <w:p>
      <w:pPr>
        <w:pStyle w:val="ListBullet"/>
        <w:ind w:left="360" w:hanging="360"/>
      </w:pPr>
      <w:r>
        <w:rPr>
          <w:rFonts w:ascii="Calibri" w:hAnsi="Calibri"/>
          <w:b/>
          <w:color w:val="525866"/>
          <w:sz w:val="22"/>
        </w:rPr>
        <w:t>Lower Short-Term Rates Are a Headwind to NII.</w:t>
      </w:r>
      <w:r>
        <w:rPr>
          <w:rFonts w:ascii="Calibri" w:hAnsi="Calibri"/>
          <w:color w:val="525866"/>
          <w:sz w:val="22"/>
        </w:rPr>
        <w:t xml:space="preserve"> CFO Jonathan Oorlog explicitly stated that “lower short-term rates” are a “headwind” to NII, as “cash spreads all go to the bottom line.” He noted rates are “much lower now than they were a year ago or 2 years ago.” </w:t>
      </w:r>
      <w:r>
        <w:rPr>
          <w:rFonts w:ascii="Calibri" w:hAnsi="Calibri"/>
          <w:b/>
          <w:color w:val="525866"/>
          <w:sz w:val="22"/>
        </w:rPr>
        <w:t xml:space="preserve">IBKR Read-Through: </w:t>
      </w:r>
      <w:r>
        <w:rPr>
          <w:rFonts w:ascii="Calibri" w:hAnsi="Calibri"/>
          <w:color w:val="525866"/>
          <w:sz w:val="22"/>
        </w:rPr>
        <w:t>Relevant risk. IBKR is highly sensitive to rate changes given its large client cash balances. This confirms the NII headwind from lower rates that IBKR management also flagged, though IBKR’s balance sheet growth has partially offset this.</w:t>
      </w:r>
    </w:p>
    <w:p>
      <w:pPr>
        <w:pStyle w:val="ListBullet"/>
        <w:ind w:left="360" w:hanging="360"/>
      </w:pPr>
      <w:r>
        <w:rPr>
          <w:rFonts w:ascii="Calibri" w:hAnsi="Calibri"/>
          <w:b/>
          <w:color w:val="525866"/>
          <w:sz w:val="22"/>
        </w:rPr>
        <w:t>Continued Market Volatility Expected; Modest IB Revenue Improvement Projected.</w:t>
      </w:r>
      <w:r>
        <w:rPr>
          <w:rFonts w:ascii="Calibri" w:hAnsi="Calibri"/>
          <w:color w:val="525866"/>
          <w:sz w:val="22"/>
        </w:rPr>
        <w:t xml:space="preserve"> RJF CFO projected “continued volatility in the markets due to geopolitical factors” and “some modest improvement in investment banking revenues at a mid-single-digit rate” based on April month-end equity levels. </w:t>
      </w:r>
      <w:r>
        <w:rPr>
          <w:rFonts w:ascii="Calibri" w:hAnsi="Calibri"/>
          <w:b/>
          <w:color w:val="525866"/>
          <w:sz w:val="22"/>
        </w:rPr>
        <w:t xml:space="preserve">IBKR Read-Through: </w:t>
      </w:r>
      <w:r>
        <w:rPr>
          <w:rFonts w:ascii="Calibri" w:hAnsi="Calibri"/>
          <w:color w:val="525866"/>
          <w:sz w:val="22"/>
        </w:rPr>
        <w:t>Positive for DARTs. Continued market volatility is a tailwind for IBKR’s trading volumes, as management noted on the Q1 call that volatility drives DARTs even when it discourages new account openings.</w:t>
      </w:r>
    </w:p>
    <w:p>
      <w:pPr>
        <w:pStyle w:val="ListBullet"/>
        <w:ind w:left="360" w:hanging="360"/>
      </w:pPr>
      <w:r>
        <w:rPr>
          <w:rFonts w:ascii="Calibri" w:hAnsi="Calibri"/>
          <w:b/>
          <w:color w:val="525866"/>
          <w:sz w:val="22"/>
        </w:rPr>
        <w:t>Record Recruiting Year on Track for Fiscal 2026.</w:t>
      </w:r>
      <w:r>
        <w:rPr>
          <w:rFonts w:ascii="Calibri" w:hAnsi="Calibri"/>
          <w:color w:val="525866"/>
          <w:sz w:val="22"/>
        </w:rPr>
        <w:t xml:space="preserve"> RJF is on track to exceed its record recruiting year of $407M in trailing 12-month production for fiscal 2026, with advisor count growing from 21,000 to 22,000+. </w:t>
      </w:r>
      <w:r>
        <w:rPr>
          <w:rFonts w:ascii="Calibri" w:hAnsi="Calibri"/>
          <w:b/>
          <w:color w:val="525866"/>
          <w:sz w:val="22"/>
        </w:rPr>
        <w:t xml:space="preserve">IBKR Read-Through: </w:t>
      </w:r>
      <w:r>
        <w:rPr>
          <w:rFonts w:ascii="Calibri" w:hAnsi="Calibri"/>
          <w:color w:val="525866"/>
          <w:sz w:val="22"/>
        </w:rPr>
        <w:t>Competitive context. Strong advisor recruitment across the industry reflects healthy demand for brokerage platforms, consistent with IBKR’s own strong introducing broker pipeline.</w:t>
      </w:r>
    </w:p>
    <w:p>
      <w:r>
        <w:rPr>
          <w:rFonts w:ascii="Calibri" w:hAnsi="Calibri"/>
          <w:color w:val="525866"/>
          <w:sz w:val="22"/>
        </w:rPr>
        <w:t>Sources: Robinhood (HOOD) Piper Sandler Global Exchange &amp; Fintech Conference transcript, June 4, 2026; Robinhood (HOOD) Bernstein Strategic Decisions Conference transcript, May 27, 2026; Raymond James Financial (RJF) 2026 Analyst &amp; Investor Day transcript, May 27, 2026.</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Insider activity since the Q1 2026 print is benign — the only open-market sale was a discretionary sale by Director Lawrence Harris in late April (not under a 10b5-1 plan), while Director Lori Conkling has been making small, consistent 10b5-1 planned purchases monthly. No clustered selling or unusual activity stands out.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Conkling, Lori A.</w:t>
            </w:r>
          </w:p>
        </w:tc>
        <w:tc>
          <w:tcPr>
            <w:tcW w:type="dxa" w:w="1234"/>
          </w:tcPr>
          <w:p>
            <w:r>
              <w:rPr>
                <w:rFonts w:ascii="Calibri" w:hAnsi="Calibri"/>
                <w:sz w:val="22"/>
              </w:rPr>
              <w:t>Director</w:t>
            </w:r>
          </w:p>
        </w:tc>
        <w:tc>
          <w:tcPr>
            <w:tcW w:type="dxa" w:w="1234"/>
          </w:tcPr>
          <w:p>
            <w:r>
              <w:rPr>
                <w:rFonts w:ascii="Calibri" w:hAnsi="Calibri"/>
                <w:sz w:val="22"/>
              </w:rPr>
              <w:t>10b5-1 Planned Buy</w:t>
            </w:r>
          </w:p>
        </w:tc>
        <w:tc>
          <w:tcPr>
            <w:tcW w:type="dxa" w:w="1234"/>
          </w:tcPr>
          <w:p>
            <w:r>
              <w:rPr>
                <w:rFonts w:ascii="Calibri" w:hAnsi="Calibri"/>
                <w:sz w:val="22"/>
              </w:rPr>
              <w:t>25</w:t>
            </w:r>
          </w:p>
        </w:tc>
        <w:tc>
          <w:tcPr>
            <w:tcW w:type="dxa" w:w="1234"/>
          </w:tcPr>
          <w:p>
            <w:r>
              <w:rPr>
                <w:rFonts w:ascii="Calibri" w:hAnsi="Calibri"/>
                <w:sz w:val="22"/>
              </w:rPr>
              <w:t>~$2,300</w:t>
            </w:r>
          </w:p>
        </w:tc>
        <w:tc>
          <w:tcPr>
            <w:tcW w:type="dxa" w:w="1234"/>
          </w:tcPr>
          <w:p>
            <w:r>
              <w:rPr>
                <w:rFonts w:ascii="Calibri" w:hAnsi="Calibri"/>
                <w:sz w:val="22"/>
              </w:rPr>
              <w:t>July 1, 2026</w:t>
            </w:r>
          </w:p>
        </w:tc>
        <w:tc>
          <w:tcPr>
            <w:tcW w:type="dxa" w:w="1234"/>
          </w:tcPr>
          <w:p>
            <w:r>
              <w:rPr>
                <w:rFonts w:ascii="Calibri" w:hAnsi="Calibri"/>
                <w:sz w:val="22"/>
              </w:rPr>
              <w:t>Pre-planned; third consecutive monthly purchase; total holdings 2,509 shares</w:t>
            </w:r>
          </w:p>
        </w:tc>
      </w:tr>
      <w:tr>
        <w:tc>
          <w:tcPr>
            <w:tcW w:type="dxa" w:w="1234"/>
          </w:tcPr>
          <w:p>
            <w:r>
              <w:rPr>
                <w:rFonts w:ascii="Calibri" w:hAnsi="Calibri"/>
                <w:sz w:val="22"/>
              </w:rPr>
              <w:t>Conkling, Lori A.</w:t>
            </w:r>
          </w:p>
        </w:tc>
        <w:tc>
          <w:tcPr>
            <w:tcW w:type="dxa" w:w="1234"/>
          </w:tcPr>
          <w:p>
            <w:r>
              <w:rPr>
                <w:rFonts w:ascii="Calibri" w:hAnsi="Calibri"/>
                <w:sz w:val="22"/>
              </w:rPr>
              <w:t>Director</w:t>
            </w:r>
          </w:p>
        </w:tc>
        <w:tc>
          <w:tcPr>
            <w:tcW w:type="dxa" w:w="1234"/>
          </w:tcPr>
          <w:p>
            <w:r>
              <w:rPr>
                <w:rFonts w:ascii="Calibri" w:hAnsi="Calibri"/>
                <w:sz w:val="22"/>
              </w:rPr>
              <w:t>10b5-1 Planned Buy</w:t>
            </w:r>
          </w:p>
        </w:tc>
        <w:tc>
          <w:tcPr>
            <w:tcW w:type="dxa" w:w="1234"/>
          </w:tcPr>
          <w:p>
            <w:r>
              <w:rPr>
                <w:rFonts w:ascii="Calibri" w:hAnsi="Calibri"/>
                <w:sz w:val="22"/>
              </w:rPr>
              <w:t>25</w:t>
            </w:r>
          </w:p>
        </w:tc>
        <w:tc>
          <w:tcPr>
            <w:tcW w:type="dxa" w:w="1234"/>
          </w:tcPr>
          <w:p>
            <w:r>
              <w:rPr>
                <w:rFonts w:ascii="Calibri" w:hAnsi="Calibri"/>
                <w:sz w:val="22"/>
              </w:rPr>
              <w:t>~$2,200</w:t>
            </w:r>
          </w:p>
        </w:tc>
        <w:tc>
          <w:tcPr>
            <w:tcW w:type="dxa" w:w="1234"/>
          </w:tcPr>
          <w:p>
            <w:r>
              <w:rPr>
                <w:rFonts w:ascii="Calibri" w:hAnsi="Calibri"/>
                <w:sz w:val="22"/>
              </w:rPr>
              <w:t>June 1, 2026</w:t>
            </w:r>
          </w:p>
        </w:tc>
        <w:tc>
          <w:tcPr>
            <w:tcW w:type="dxa" w:w="1234"/>
          </w:tcPr>
          <w:p>
            <w:r>
              <w:rPr>
                <w:rFonts w:ascii="Calibri" w:hAnsi="Calibri"/>
                <w:sz w:val="22"/>
              </w:rPr>
              <w:t>Pre-planned; consistent monthly purchase pattern</w:t>
            </w:r>
          </w:p>
        </w:tc>
      </w:tr>
      <w:tr>
        <w:tc>
          <w:tcPr>
            <w:tcW w:type="dxa" w:w="1234"/>
          </w:tcPr>
          <w:p>
            <w:r>
              <w:rPr>
                <w:rFonts w:ascii="Calibri" w:hAnsi="Calibri"/>
                <w:sz w:val="22"/>
              </w:rPr>
              <w:t>Conkling, Lori A.</w:t>
            </w:r>
          </w:p>
        </w:tc>
        <w:tc>
          <w:tcPr>
            <w:tcW w:type="dxa" w:w="1234"/>
          </w:tcPr>
          <w:p>
            <w:r>
              <w:rPr>
                <w:rFonts w:ascii="Calibri" w:hAnsi="Calibri"/>
                <w:sz w:val="22"/>
              </w:rPr>
              <w:t>Director</w:t>
            </w:r>
          </w:p>
        </w:tc>
        <w:tc>
          <w:tcPr>
            <w:tcW w:type="dxa" w:w="1234"/>
          </w:tcPr>
          <w:p>
            <w:r>
              <w:rPr>
                <w:rFonts w:ascii="Calibri" w:hAnsi="Calibri"/>
                <w:sz w:val="22"/>
              </w:rPr>
              <w:t>10b5-1 Planned Buy</w:t>
            </w:r>
          </w:p>
        </w:tc>
        <w:tc>
          <w:tcPr>
            <w:tcW w:type="dxa" w:w="1234"/>
          </w:tcPr>
          <w:p>
            <w:r>
              <w:rPr>
                <w:rFonts w:ascii="Calibri" w:hAnsi="Calibri"/>
                <w:sz w:val="22"/>
              </w:rPr>
              <w:t>25</w:t>
            </w:r>
          </w:p>
        </w:tc>
        <w:tc>
          <w:tcPr>
            <w:tcW w:type="dxa" w:w="1234"/>
          </w:tcPr>
          <w:p>
            <w:r>
              <w:rPr>
                <w:rFonts w:ascii="Calibri" w:hAnsi="Calibri"/>
                <w:sz w:val="22"/>
              </w:rPr>
              <w:t>~$2,100</w:t>
            </w:r>
          </w:p>
        </w:tc>
        <w:tc>
          <w:tcPr>
            <w:tcW w:type="dxa" w:w="1234"/>
          </w:tcPr>
          <w:p>
            <w:r>
              <w:rPr>
                <w:rFonts w:ascii="Calibri" w:hAnsi="Calibri"/>
                <w:sz w:val="22"/>
              </w:rPr>
              <w:t>May 1, 2026</w:t>
            </w:r>
          </w:p>
        </w:tc>
        <w:tc>
          <w:tcPr>
            <w:tcW w:type="dxa" w:w="1234"/>
          </w:tcPr>
          <w:p>
            <w:r>
              <w:rPr>
                <w:rFonts w:ascii="Calibri" w:hAnsi="Calibri"/>
                <w:sz w:val="22"/>
              </w:rPr>
              <w:t>Pre-planned; consistent monthly purchase pattern</w:t>
            </w:r>
          </w:p>
        </w:tc>
      </w:tr>
      <w:tr>
        <w:tc>
          <w:tcPr>
            <w:tcW w:type="dxa" w:w="1234"/>
          </w:tcPr>
          <w:p>
            <w:r>
              <w:rPr>
                <w:rFonts w:ascii="Calibri" w:hAnsi="Calibri"/>
                <w:sz w:val="22"/>
              </w:rPr>
              <w:t>Harris, Lawrence E.</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26,000</w:t>
            </w:r>
          </w:p>
        </w:tc>
        <w:tc>
          <w:tcPr>
            <w:tcW w:type="dxa" w:w="1234"/>
          </w:tcPr>
          <w:p>
            <w:r>
              <w:rPr>
                <w:rFonts w:ascii="Calibri" w:hAnsi="Calibri"/>
                <w:sz w:val="22"/>
              </w:rPr>
              <w:t>~$2.0M</w:t>
            </w:r>
          </w:p>
        </w:tc>
        <w:tc>
          <w:tcPr>
            <w:tcW w:type="dxa" w:w="1234"/>
          </w:tcPr>
          <w:p>
            <w:r>
              <w:rPr>
                <w:rFonts w:ascii="Calibri" w:hAnsi="Calibri"/>
                <w:sz w:val="22"/>
              </w:rPr>
              <w:t>April 28, 2026</w:t>
            </w:r>
          </w:p>
        </w:tc>
        <w:tc>
          <w:tcPr>
            <w:tcW w:type="dxa" w:w="1234"/>
          </w:tcPr>
          <w:p>
            <w:r>
              <w:rPr>
                <w:rFonts w:ascii="Calibri" w:hAnsi="Calibri"/>
                <w:sz w:val="22"/>
              </w:rPr>
              <w:t>Discretionary sale (NOT under 10b5-1 plan); sold 7 days after Q1 earnings; remaining holdings 173,482 shares</w:t>
            </w:r>
          </w:p>
        </w:tc>
      </w:tr>
    </w:tbl>
    <w:p>
      <w:r>
        <w:rPr>
          <w:rFonts w:ascii="Calibri" w:hAnsi="Calibri"/>
          <w:color w:val="525866"/>
          <w:sz w:val="22"/>
        </w:rPr>
        <w:t>The Harris sale (26,000 shares, ~$2.0M) is the only notable open-market transaction. It occurred 7 days after the Q1 2026 earnings print and was not under a 10b5-1 plan, which warrants monitoring. However, Harris retained 173,482 shares (~87% of pre-sale holdings), and the sale size is not unusual relative to his total position. Director Conkling’s consistent 10b5-1 monthly purchases are routine and signal no concern.</w:t>
      </w:r>
    </w:p>
    <w:p>
      <w:r>
        <w:rPr>
          <w:rFonts w:ascii="Calibri" w:hAnsi="Calibri"/>
          <w:color w:val="525866"/>
          <w:sz w:val="22"/>
        </w:rPr>
        <w:t>Source: SEC Form 4 Filings Database (Insider Transaction Data). Form 4 filings: Conkling (July 1, 2026); Conkling (June 1, 2026); Conkling (May 1, 2026); Harris (April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