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IBM before writing the preview. Let me gather recent earnings, guidance, news, and analyst expectations.This is a huge story — IBM pre-announced a Q2 miss on July 14 and the stock crashed ~25%. Let me read the pre-announcement details and prior quarter's guidance for full context.I have strong context. Let me pull the stock price reaction and check for the latest analyst/news developments right before the call.I now have a comprehensive picture. Here's the earnings preview.</w:t>
      </w:r>
    </w:p>
    <w:p>
      <w:r>
        <w:pict>
          <v:rect style="width:0;height:1.5pt" o:hralign="center" o:hrstd="t" o:hr="t"/>
        </w:pict>
      </w:r>
    </w:p>
    <w:bookmarkStart w:id="17" w:name="ibm-nyse-ibm--q2-2026-earnings-preview"/>
    <w:p>
      <w:pPr>
        <w:pStyle w:val="Heading1"/>
      </w:pPr>
      <w:r>
        <w:t xml:space="preserve">IBM (NYSE: IBM) — Q2 2026 Earnings Preview</w:t>
      </w:r>
    </w:p>
    <w:bookmarkStart w:id="9" w:name="Xc59e72c750cf8a0c9b449a1e0f8d613531d3132"/>
    <w:p>
      <w:pPr>
        <w:pStyle w:val="Heading3"/>
      </w:pPr>
      <w:r>
        <w:t xml:space="preserve">Reports Wednesday, July 22, 2026 · ~4:10pm ET release · 5:00pm ET call</w:t>
      </w:r>
    </w:p>
    <w:bookmarkEnd w:id="9"/>
    <w:bookmarkStart w:id="10" w:name="the-one-sentence-setup"/>
    <w:p>
      <w:pPr>
        <w:pStyle w:val="Heading2"/>
      </w:pPr>
      <w:r>
        <w:t xml:space="preserve">The one-sentence setup</w:t>
      </w:r>
    </w:p>
    <w:p>
      <w:pPr>
        <w:pStyle w:val="FirstParagraph"/>
      </w:pPr>
      <w:r>
        <w:t xml:space="preserve">This is the most important IBM earnings call in years — not because the numbers are unknown, but because</w:t>
      </w:r>
      <w:r>
        <w:t xml:space="preserve"> </w:t>
      </w:r>
      <w:r>
        <w:rPr>
          <w:b/>
          <w:bCs/>
        </w:rPr>
        <w:t xml:space="preserve">IBM already pre-announced a badly-missed quarter on July 14 and the stock crashed ~25% in a single day, the worst one-day drop in the company's 115-year history.</w:t>
      </w:r>
      <w:r>
        <w:t xml:space="preserve"> </w:t>
      </w:r>
      <w:r>
        <w:t xml:space="preserve">The call is now entirely about one thing:</w:t>
      </w:r>
      <w:r>
        <w:t xml:space="preserve"> </w:t>
      </w:r>
      <w:r>
        <w:rPr>
          <w:b/>
          <w:bCs/>
        </w:rPr>
        <w:t xml:space="preserve">can management restore credibility and give investors a full-year guide they can trust?</w:t>
      </w:r>
    </w:p>
    <w:p>
      <w:r>
        <w:pict>
          <v:rect style="width:0;height:1.5pt" o:hralign="center" o:hrstd="t" o:hr="t"/>
        </w:pict>
      </w:r>
    </w:p>
    <w:bookmarkEnd w:id="10"/>
    <w:bookmarkStart w:id="11" w:name="X6f59039445856009c2a210c4e598217da419e88"/>
    <w:p>
      <w:pPr>
        <w:pStyle w:val="Heading2"/>
      </w:pPr>
      <w:r>
        <w:t xml:space="preserve">What already happened (the pre-announcement)</w:t>
      </w:r>
    </w:p>
    <w:p>
      <w:pPr>
        <w:pStyle w:val="FirstParagraph"/>
      </w:pPr>
      <w:r>
        <w:t xml:space="preserve">In a highly unusual move, IBM released selected preliminary Q2 results via a letter from CEO Arvind Krishna on July 14, rather than waiting for the scheduled call. The prelims: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Prelim Q2'26</w:t>
            </w:r>
          </w:p>
        </w:tc>
        <w:tc>
          <w:tcPr/>
          <w:p>
            <w:pPr>
              <w:pStyle w:val="Compact"/>
            </w:pPr>
            <w:r>
              <w:t xml:space="preserve">Y/Y</w:t>
            </w:r>
          </w:p>
        </w:tc>
        <w:tc>
          <w:tcPr/>
          <w:p>
            <w:pPr>
              <w:pStyle w:val="Compact"/>
            </w:pPr>
            <w:r>
              <w:t xml:space="preserve">Street Est.</w:t>
            </w:r>
          </w:p>
        </w:tc>
        <w:tc>
          <w:tcPr/>
          <w:p>
            <w:pPr>
              <w:pStyle w:val="Compact"/>
            </w:pPr>
            <w:r>
              <w:t xml:space="preserve">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$17.2B</w:t>
            </w:r>
          </w:p>
        </w:tc>
        <w:tc>
          <w:tcPr/>
          <w:p>
            <w:pPr>
              <w:pStyle w:val="Compact"/>
            </w:pPr>
            <w:r>
              <w:t xml:space="preserve">+1%</w:t>
            </w:r>
          </w:p>
        </w:tc>
        <w:tc>
          <w:tcPr/>
          <w:p>
            <w:pPr>
              <w:pStyle w:val="Compact"/>
            </w:pPr>
            <w:r>
              <w:t xml:space="preserve">~$17.86B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(non-GAAP) 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$2.93</w:t>
            </w:r>
          </w:p>
        </w:tc>
        <w:tc>
          <w:tcPr/>
          <w:p>
            <w:pPr>
              <w:pStyle w:val="Compact"/>
            </w:pPr>
            <w:r>
              <w:t xml:space="preserve">+5%</w:t>
            </w:r>
          </w:p>
        </w:tc>
        <w:tc>
          <w:tcPr/>
          <w:p>
            <w:pPr>
              <w:pStyle w:val="Compact"/>
            </w:pPr>
            <w:r>
              <w:t xml:space="preserve">~$3.01–3.02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</w:pPr>
            <w:r>
              <w:t xml:space="preserve">$2.27</w:t>
            </w:r>
          </w:p>
        </w:tc>
        <w:tc>
          <w:tcPr/>
          <w:p>
            <w:pPr>
              <w:pStyle w:val="Compact"/>
            </w:pPr>
            <w:r>
              <w:t xml:space="preserve">–2%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Software revenue</w:t>
            </w:r>
          </w:p>
        </w:tc>
        <w:tc>
          <w:tcPr/>
          <w:p>
            <w:pPr>
              <w:pStyle w:val="Compact"/>
            </w:pPr>
            <w:r>
              <w:t xml:space="preserve">+5%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(double-digit expected)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Consulting revenue</w:t>
            </w:r>
          </w:p>
        </w:tc>
        <w:tc>
          <w:tcPr/>
          <w:p>
            <w:pPr>
              <w:pStyle w:val="Compact"/>
            </w:pPr>
            <w:r>
              <w:t xml:space="preserve">flat (+1% cc)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Soft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Infrastructure revenue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–7%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(down low-single-digit expected)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Big miss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gross margin</w:t>
            </w:r>
          </w:p>
        </w:tc>
        <w:tc>
          <w:tcPr/>
          <w:p>
            <w:pPr>
              <w:pStyle w:val="Compact"/>
            </w:pPr>
            <w:r>
              <w:t xml:space="preserve">59.4%</w:t>
            </w:r>
          </w:p>
        </w:tc>
        <w:tc>
          <w:tcPr/>
          <w:p>
            <w:pPr>
              <w:pStyle w:val="Compact"/>
            </w:pPr>
            <w:r>
              <w:t xml:space="preserve">–70bps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Softer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pre-tax margin</w:t>
            </w:r>
          </w:p>
        </w:tc>
        <w:tc>
          <w:tcPr/>
          <w:p>
            <w:pPr>
              <w:pStyle w:val="Compact"/>
            </w:pPr>
            <w:r>
              <w:t xml:space="preserve">19.2%</w:t>
            </w:r>
          </w:p>
        </w:tc>
        <w:tc>
          <w:tcPr/>
          <w:p>
            <w:pPr>
              <w:pStyle w:val="Compact"/>
            </w:pPr>
            <w:r>
              <w:t xml:space="preserve">+30bps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Held up</w:t>
            </w:r>
          </w:p>
        </w:tc>
      </w:tr>
      <w:tr>
        <w:tc>
          <w:tcPr/>
          <w:p>
            <w:pPr>
              <w:pStyle w:val="Compact"/>
            </w:pPr>
            <w:r>
              <w:t xml:space="preserve">YTD Free cash flow</w:t>
            </w:r>
          </w:p>
        </w:tc>
        <w:tc>
          <w:tcPr/>
          <w:p>
            <w:pPr>
              <w:pStyle w:val="Compact"/>
            </w:pPr>
            <w:r>
              <w:t xml:space="preserve">$4.8B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On track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critical nuance:</w:t>
      </w:r>
      <w:r>
        <w:t xml:space="preserve"> </w:t>
      </w:r>
      <w:r>
        <w:t xml:space="preserve">the shortfall was almost entirely a</w:t>
      </w:r>
      <w:r>
        <w:t xml:space="preserve"> </w:t>
      </w:r>
      <w:r>
        <w:rPr>
          <w:b/>
          <w:bCs/>
        </w:rPr>
        <w:t xml:space="preserve">revenue and mix</w:t>
      </w:r>
      <w:r>
        <w:t xml:space="preserve"> </w:t>
      </w:r>
      <w:r>
        <w:t xml:space="preserve">problem, not a profitability collapse. Operating pre-tax margin actually</w:t>
      </w:r>
      <w:r>
        <w:t xml:space="preserve"> </w:t>
      </w:r>
      <w:r>
        <w:rPr>
          <w:i/>
          <w:iCs/>
        </w:rPr>
        <w:t xml:space="preserve">expanded</w:t>
      </w:r>
      <w:r>
        <w:t xml:space="preserve"> </w:t>
      </w:r>
      <w:r>
        <w:t xml:space="preserve">30bps and YTD FCF (</w:t>
      </w:r>
      <m:oMath>
        <m:r>
          <m:t>4.8</m:t>
        </m:r>
        <m:r>
          <m:t>B</m:t>
        </m:r>
        <m:r>
          <m:rPr>
            <m:sty m:val="p"/>
          </m:rPr>
          <m:t>,</m:t>
        </m:r>
        <m:r>
          <m:t>o</m:t>
        </m:r>
        <m:r>
          <m:t>n</m:t>
        </m:r>
        <m:r>
          <m:t> </m:t>
        </m:r>
      </m:oMath>
      <w:r>
        <w:t xml:space="preserve">7.8B operating cash) is intact. IBM's cost/productivity flywheel is still working; the top line broke.</w:t>
      </w:r>
    </w:p>
    <w:p>
      <w:r>
        <w:pict>
          <v:rect style="width:0;height:1.5pt" o:hralign="center" o:hrstd="t" o:hr="t"/>
        </w:pict>
      </w:r>
    </w:p>
    <w:bookmarkEnd w:id="11"/>
    <w:bookmarkStart w:id="12" w:name="why-it-happened--managements-explanation"/>
    <w:p>
      <w:pPr>
        <w:pStyle w:val="Heading2"/>
      </w:pPr>
      <w:r>
        <w:t xml:space="preserve">Why it happened — management's explanation</w:t>
      </w:r>
    </w:p>
    <w:p>
      <w:pPr>
        <w:pStyle w:val="FirstParagraph"/>
      </w:pPr>
      <w:r>
        <w:t xml:space="preserve">Krishna's letter attributed the miss to a confluence of factors, admitting outright that</w:t>
      </w:r>
      <w:r>
        <w:t xml:space="preserve"> </w:t>
      </w:r>
      <w:r>
        <w:rPr>
          <w:b/>
          <w:bCs/>
        </w:rPr>
        <w:t xml:space="preserve">"this quarter we faltered"</w:t>
      </w:r>
      <w:r>
        <w:t xml:space="preserve"> </w:t>
      </w:r>
      <w:r>
        <w:t xml:space="preserve">and that IBM "did not adapt and move quickly enough":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Mainframe (Z) shortfall.</w:t>
      </w:r>
      <w:r>
        <w:t xml:space="preserve"> </w:t>
      </w:r>
      <w:r>
        <w:t xml:space="preserve">IBM was "wrapping" the z17 launch cycle and expected Infrastructure down low-single-digits for the year. Instead the Z stack — especially</w:t>
      </w:r>
      <w:r>
        <w:t xml:space="preserve"> </w:t>
      </w:r>
      <w:r>
        <w:rPr>
          <w:b/>
          <w:bCs/>
        </w:rPr>
        <w:t xml:space="preserve">Transaction Processing software</w:t>
      </w:r>
      <w:r>
        <w:t xml:space="preserve"> </w:t>
      </w:r>
      <w:r>
        <w:t xml:space="preserve">— came in worse than planned. This matters disproportionately because TP is among IBM's highest-margin, highest-multiplier revenue (the "3–4x stack multiplier" on every hardware dollar management touted in Q1).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AI capex "crowding out" effect.</w:t>
      </w:r>
      <w:r>
        <w:t xml:space="preserve"> </w:t>
      </w:r>
      <w:r>
        <w:t xml:space="preserve">In the last few weeks of June, clients redirected quarterly capex toward</w:t>
      </w:r>
      <w:r>
        <w:t xml:space="preserve"> </w:t>
      </w:r>
      <w:r>
        <w:rPr>
          <w:b/>
          <w:bCs/>
        </w:rPr>
        <w:t xml:space="preserve">servers, storage, and memory</w:t>
      </w:r>
      <w:r>
        <w:t xml:space="preserve"> </w:t>
      </w:r>
      <w:r>
        <w:t xml:space="preserve">to lock in supply-constrained hardware ahead of expected price increases. IBM anticipated</w:t>
      </w:r>
      <w:r>
        <w:t xml:space="preserve"> </w:t>
      </w:r>
      <w:r>
        <w:rPr>
          <w:i/>
          <w:iCs/>
        </w:rPr>
        <w:t xml:space="preserve">some</w:t>
      </w:r>
      <w:r>
        <w:t xml:space="preserve"> </w:t>
      </w:r>
      <w:r>
        <w:t xml:space="preserve">supply-chain impact but "did not anticipate the magnitude of the capex reprioritization."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Cybersecurity distraction.</w:t>
      </w:r>
      <w:r>
        <w:t xml:space="preserve"> </w:t>
      </w:r>
      <w:r>
        <w:t xml:space="preserve">Clients were preoccupied with industry-wide security concerns during the quarter.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Execution / deal slippage.</w:t>
      </w:r>
      <w:r>
        <w:t xml:space="preserve"> </w:t>
      </w:r>
      <w:r>
        <w:t xml:space="preserve">"Numerous large deals failed to close on the timelines we expected, driving the majority of our shortfall."</w:t>
      </w:r>
    </w:p>
    <w:p>
      <w:pPr>
        <w:pStyle w:val="FirstParagraph"/>
      </w:pPr>
      <w:r>
        <w:rPr>
          <w:b/>
          <w:bCs/>
        </w:rPr>
        <w:t xml:space="preserve">The bull/bear crux is #2 and #4:</w:t>
      </w:r>
      <w:r>
        <w:t xml:space="preserve"> </w:t>
      </w:r>
      <w:r>
        <w:t xml:space="preserve">Is this a temporary</w:t>
      </w:r>
      <w:r>
        <w:t xml:space="preserve"> </w:t>
      </w:r>
      <w:r>
        <w:rPr>
          <w:i/>
          <w:iCs/>
        </w:rPr>
        <w:t xml:space="preserve">pause</w:t>
      </w:r>
      <w:r>
        <w:t xml:space="preserve"> </w:t>
      </w:r>
      <w:r>
        <w:t xml:space="preserve">(deals slip, then close; capex normalizes) or a</w:t>
      </w:r>
      <w:r>
        <w:t xml:space="preserve"> </w:t>
      </w:r>
      <w:r>
        <w:rPr>
          <w:i/>
          <w:iCs/>
        </w:rPr>
        <w:t xml:space="preserve">structural shift</w:t>
      </w:r>
      <w:r>
        <w:t xml:space="preserve"> </w:t>
      </w:r>
      <w:r>
        <w:t xml:space="preserve">of enterprise budgets away from IBM's software/infrastructure toward AI hardware? Krishna essentially needs to answer that question convincingly on the call. Bloomberg Intelligence has flagged this may not be a one-off.</w:t>
      </w:r>
    </w:p>
    <w:p>
      <w:r>
        <w:pict>
          <v:rect style="width:0;height:1.5pt" o:hralign="center" o:hrstd="t" o:hr="t"/>
        </w:pict>
      </w:r>
    </w:p>
    <w:bookmarkEnd w:id="12"/>
    <w:bookmarkStart w:id="13" w:name="the-bright-spots-management-will-lean-on"/>
    <w:p>
      <w:pPr>
        <w:pStyle w:val="Heading2"/>
      </w:pPr>
      <w:r>
        <w:t xml:space="preserve">The bright spots management will lean on</w:t>
      </w:r>
    </w:p>
    <w:p>
      <w:pPr>
        <w:pStyle w:val="FirstParagraph"/>
      </w:pPr>
      <w:r>
        <w:t xml:space="preserve">The prelim letter was deliberately seeded with positives to counter the narrative: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Red Hat re-accelerated to +11%</w:t>
      </w:r>
      <w:r>
        <w:t xml:space="preserve"> </w:t>
      </w:r>
      <w:r>
        <w:t xml:space="preserve">(up sequentially from 10% in Q1) — directly relevant to the "is software durable in an AI world" debate.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HashiCorp and Confluent both performing strongly</w:t>
      </w:r>
      <w:r>
        <w:t xml:space="preserve"> </w:t>
      </w:r>
      <w:r>
        <w:t xml:space="preserve">— the M&amp;A engine is working.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Distributed Infrastructure had its best quarter on record, +37%</w:t>
      </w:r>
      <w:r>
        <w:t xml:space="preserve"> </w:t>
      </w:r>
      <w:r>
        <w:t xml:space="preserve">(Power + Storage), with ~$500M backlog. Ironically, the same AI-hardware wave hurting the mainframe is</w:t>
      </w:r>
      <w:r>
        <w:t xml:space="preserve"> </w:t>
      </w:r>
      <w:r>
        <w:rPr>
          <w:i/>
          <w:iCs/>
        </w:rPr>
        <w:t xml:space="preserve">helping</w:t>
      </w:r>
      <w:r>
        <w:t xml:space="preserve"> </w:t>
      </w:r>
      <w:r>
        <w:t xml:space="preserve">IBM's Power/Storage business.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z17 remains ~130% program-to-program</w:t>
      </w:r>
      <w:r>
        <w:t xml:space="preserve"> </w:t>
      </w:r>
      <w:r>
        <w:t xml:space="preserve">vs. z16 (IBM's prior best), with 85% of installed MIPS maintaining/growing capacity — management's argument that the Z weakness is timing, not demand destruction.</w:t>
      </w:r>
    </w:p>
    <w:p>
      <w:pPr>
        <w:pStyle w:val="Compact"/>
        <w:numPr>
          <w:ilvl w:val="0"/>
          <w:numId w:val="1002"/>
        </w:numPr>
      </w:pPr>
      <w:r>
        <w:t xml:space="preserve">Continued Consulting</w:t>
      </w:r>
      <w:r>
        <w:t xml:space="preserve"> </w:t>
      </w:r>
      <w:r>
        <w:rPr>
          <w:b/>
          <w:bCs/>
        </w:rPr>
        <w:t xml:space="preserve">GenAI signings</w:t>
      </w:r>
      <w:r>
        <w:t xml:space="preserve"> </w:t>
      </w:r>
      <w:r>
        <w:t xml:space="preserve">momentum.</w:t>
      </w:r>
    </w:p>
    <w:p>
      <w:pPr>
        <w:pStyle w:val="Compact"/>
        <w:numPr>
          <w:ilvl w:val="0"/>
          <w:numId w:val="1002"/>
        </w:numPr>
      </w:pPr>
      <w:r>
        <w:t xml:space="preserve">New initiatives:</w:t>
      </w:r>
      <w:r>
        <w:t xml:space="preserve"> </w:t>
      </w:r>
      <w:r>
        <w:rPr>
          <w:b/>
          <w:bCs/>
        </w:rPr>
        <w:t xml:space="preserve">Lightwell</w:t>
      </w:r>
      <w:r>
        <w:t xml:space="preserve"> </w:t>
      </w:r>
      <w:r>
        <w:t xml:space="preserve">(</w:t>
      </w:r>
      <w:r>
        <w:t xml:space="preserve">$5B commitment, an open-source security "clearinghouse" with marquee bank clients) and **&gt;$</w:t>
      </w:r>
      <w:r>
        <w:t xml:space="preserve">10B quantum investment over 5 years**, including the "Anderon" quantum wafer foundry with $1B CHIPS support.</w:t>
      </w:r>
    </w:p>
    <w:p>
      <w:r>
        <w:pict>
          <v:rect style="width:0;height:1.5pt" o:hralign="center" o:hrstd="t" o:hr="t"/>
        </w:pict>
      </w:r>
    </w:p>
    <w:bookmarkEnd w:id="13"/>
    <w:bookmarkStart w:id="14" w:name="what-actually-matters-on-the-call"/>
    <w:p>
      <w:pPr>
        <w:pStyle w:val="Heading2"/>
      </w:pPr>
      <w:r>
        <w:t xml:space="preserve">What actually matters on the call</w:t>
      </w:r>
    </w:p>
    <w:p>
      <w:pPr>
        <w:pStyle w:val="FirstParagraph"/>
      </w:pPr>
      <w:r>
        <w:t xml:space="preserve">Since the headline numbers are known, the entire event hinges on the</w:t>
      </w:r>
      <w:r>
        <w:t xml:space="preserve"> </w:t>
      </w:r>
      <w:r>
        <w:rPr>
          <w:b/>
          <w:bCs/>
        </w:rPr>
        <w:t xml:space="preserve">outlook</w:t>
      </w:r>
      <w:r>
        <w:t xml:space="preserve">. Krishna explicitly said the July 22 call will "discuss our full-year expectations."</w:t>
      </w:r>
    </w:p>
    <w:p>
      <w:pPr>
        <w:pStyle w:val="BodyText"/>
      </w:pPr>
      <w:r>
        <w:rPr>
          <w:b/>
          <w:bCs/>
        </w:rPr>
        <w:t xml:space="preserve">#1 — Full-year guidance revision.</w:t>
      </w:r>
      <w:r>
        <w:t xml:space="preserve"> </w:t>
      </w:r>
      <w:r>
        <w:t xml:space="preserve">Coming into the year IBM guided: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Constant-currency revenue growth of 5%+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Software 10%+</w:t>
      </w:r>
      <w:r>
        <w:t xml:space="preserve"> </w:t>
      </w:r>
      <w:r>
        <w:t xml:space="preserve">(raised at Q1)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Consulting accelerating to low-to-mid single digits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Infrastructure down low-single-digits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Operating pre-tax margin +~1pt</w:t>
      </w:r>
    </w:p>
    <w:p>
      <w:pPr>
        <w:pStyle w:val="Compact"/>
        <w:numPr>
          <w:ilvl w:val="0"/>
          <w:numId w:val="1003"/>
        </w:numPr>
      </w:pPr>
      <w:r>
        <w:t xml:space="preserve">**Free cash flow +~</w:t>
      </w:r>
      <m:oMath>
        <m:r>
          <m:t>1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t</m:t>
        </m:r>
        <m:r>
          <m:t>o</m:t>
        </m:r>
        <m:r>
          <m:t>w</m:t>
        </m:r>
        <m:r>
          <m:t>a</m:t>
        </m:r>
        <m:r>
          <m:t>r</m:t>
        </m:r>
        <m:r>
          <m:t>d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13.5–14B range)</w:t>
      </w:r>
    </w:p>
    <w:p>
      <w:pPr>
        <w:pStyle w:val="FirstParagraph"/>
      </w:pPr>
      <w:r>
        <w:t xml:space="preserve">With Q2 software at only +5%, consulting flat, and infrastructure down 7%, the 5%+ revenue and 10%+ software targets look very hard.</w:t>
      </w:r>
      <w:r>
        <w:t xml:space="preserve"> </w:t>
      </w:r>
      <w:r>
        <w:rPr>
          <w:b/>
          <w:bCs/>
        </w:rPr>
        <w:t xml:space="preserve">Watch whether IBM (a) cuts guidance and by how much, (b) reaffirms FCF even if it cuts revenue, or (c) declines to give a clean guide</w:t>
      </w:r>
      <w:r>
        <w:t xml:space="preserve"> </w:t>
      </w:r>
      <w:r>
        <w:t xml:space="preserve">— the last of which would be the worst outcome for a market already questioning credibility.</w:t>
      </w:r>
    </w:p>
    <w:p>
      <w:pPr>
        <w:pStyle w:val="BodyText"/>
      </w:pPr>
      <w:r>
        <w:rPr>
          <w:b/>
          <w:bCs/>
        </w:rPr>
        <w:t xml:space="preserve">#2 — Free cash flow defense.</w:t>
      </w:r>
      <w:r>
        <w:t xml:space="preserve"> </w:t>
      </w:r>
      <w:r>
        <w:t xml:space="preserve">FCF is now the metric the Street values IBM on (management's own framing). If IBM can hold ~</w:t>
      </w:r>
      <m:oMath>
        <m:r>
          <m:t>13</m:t>
        </m:r>
        <m:r>
          <m:rPr>
            <m:sty m:val="p"/>
          </m:rPr>
          <m:t>–</m:t>
        </m:r>
        <m:r>
          <m:t>14</m:t>
        </m:r>
        <m:r>
          <m:t>B</m:t>
        </m:r>
        <m:r>
          <m:t>F</m:t>
        </m:r>
        <m:r>
          <m:t>C</m:t>
        </m:r>
        <m:r>
          <m:t>F</m:t>
        </m:r>
        <m:r>
          <m:t>d</m:t>
        </m:r>
        <m:r>
          <m:t>e</m:t>
        </m:r>
        <m:r>
          <m:t>s</m:t>
        </m:r>
        <m:r>
          <m:t>p</m:t>
        </m:r>
        <m:r>
          <m:t>i</m:t>
        </m:r>
        <m:r>
          <m:t>t</m:t>
        </m:r>
        <m:r>
          <m:t>e</m:t>
        </m:r>
        <m:r>
          <m:t>t</m:t>
        </m:r>
        <m:r>
          <m:t>h</m:t>
        </m:r>
        <m:r>
          <m:t>e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m</m:t>
        </m:r>
        <m:r>
          <m:t>i</m:t>
        </m:r>
        <m:r>
          <m:t>s</m:t>
        </m:r>
        <m:r>
          <m:t>s</m:t>
        </m:r>
        <m:r>
          <m:rPr>
            <m:sty m:val="p"/>
          </m:rPr>
          <m:t>,</m:t>
        </m:r>
        <m:r>
          <m:t>i</m:t>
        </m:r>
        <m:r>
          <m:t>t</m:t>
        </m:r>
        <m:r>
          <m:t>s</m:t>
        </m:r>
        <m:r>
          <m:t>u</m:t>
        </m:r>
        <m:r>
          <m:t>p</m:t>
        </m:r>
        <m:r>
          <m:t>p</m:t>
        </m:r>
        <m:r>
          <m:t>o</m:t>
        </m:r>
        <m:r>
          <m:t>r</m:t>
        </m:r>
        <m:r>
          <m:t>t</m:t>
        </m:r>
        <m:r>
          <m:t>s</m:t>
        </m:r>
        <m:r>
          <m:t>t</m:t>
        </m:r>
        <m:r>
          <m:t>h</m:t>
        </m:r>
        <m:r>
          <m:t>e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v</m:t>
        </m:r>
        <m:r>
          <m:t>a</m:t>
        </m:r>
        <m:r>
          <m:t>l</m:t>
        </m:r>
        <m:r>
          <m:t>u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f</m:t>
        </m:r>
        <m:r>
          <m:t>l</m:t>
        </m:r>
        <m:r>
          <m:t>o</m:t>
        </m:r>
        <m:r>
          <m:t>o</m:t>
        </m:r>
        <m:r>
          <m:t>r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l</m:t>
        </m:r>
        <m:r>
          <m:t>o</m:t>
        </m:r>
        <m:r>
          <m:t>o</m:t>
        </m:r>
        <m:r>
          <m:t>k</m:t>
        </m:r>
        <m:r>
          <m:t>s</m:t>
        </m:r>
        <m:r>
          <m:t>s</m:t>
        </m:r>
        <m:r>
          <m:t>a</m:t>
        </m:r>
        <m:r>
          <m:t>f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—</m:t>
        </m:r>
        <m:r>
          <m:t> </m:t>
        </m:r>
      </m:oMath>
      <w:r>
        <w:t xml:space="preserve">6B cost against ~$13B trailing FCF — and the yield has jumped to ~3.1% after the drop.</w:t>
      </w:r>
    </w:p>
    <w:p>
      <w:pPr>
        <w:pStyle w:val="BodyText"/>
      </w:pPr>
      <w:r>
        <w:rPr>
          <w:b/>
          <w:bCs/>
        </w:rPr>
        <w:t xml:space="preserve">#3 — "Pause vs. structural" evidence.</w:t>
      </w:r>
      <w:r>
        <w:t xml:space="preserve"> </w:t>
      </w:r>
      <w:r>
        <w:t xml:space="preserve">Do the slipped deals show signs of closing in Q3? Is the June capex shift reversing? Any hard data here will move the stock more than the guide itself.</w:t>
      </w:r>
    </w:p>
    <w:p>
      <w:pPr>
        <w:pStyle w:val="BodyText"/>
      </w:pPr>
      <w:r>
        <w:rPr>
          <w:b/>
          <w:bCs/>
        </w:rPr>
        <w:t xml:space="preserve">#4 — Software durability.</w:t>
      </w:r>
      <w:r>
        <w:t xml:space="preserve"> </w:t>
      </w:r>
      <w:r>
        <w:t xml:space="preserve">Given the broader "will AI make enterprise software obsolete" fear (which dragged Microsoft, Oracle, Salesforce, Workday down on IBM's warning, and the Starbucks/AI-replacing-software story from July 9), IBM needs to reinforce the Red Hat/data/automation acceleration story.</w:t>
      </w:r>
    </w:p>
    <w:p>
      <w:pPr>
        <w:pStyle w:val="BodyText"/>
      </w:pPr>
      <w:r>
        <w:rPr>
          <w:b/>
          <w:bCs/>
        </w:rPr>
        <w:t xml:space="preserve">#5 — Governance/strategic overhang.</w:t>
      </w:r>
      <w:r>
        <w:t xml:space="preserve"> </w:t>
      </w:r>
      <w:r>
        <w:t xml:space="preserve">Reports indicate IBM's board recognizes the stock weakness could invite an</w:t>
      </w:r>
      <w:r>
        <w:t xml:space="preserve"> </w:t>
      </w:r>
      <w:r>
        <w:rPr>
          <w:b/>
          <w:bCs/>
        </w:rPr>
        <w:t xml:space="preserve">activist campaign</w:t>
      </w:r>
      <w:r>
        <w:t xml:space="preserve">, and there is public debate about whether IBM should be broken up. Any commentary on portfolio, buybacks, or M&amp;A appetite will be scrutinized. (In Q1, Krishna hinted at a bigger 2H M&amp;A appetite given attractive software valuations.)</w:t>
      </w:r>
    </w:p>
    <w:p>
      <w:r>
        <w:pict>
          <v:rect style="width:0;height:1.5pt" o:hralign="center" o:hrstd="t" o:hr="t"/>
        </w:pict>
      </w:r>
    </w:p>
    <w:bookmarkEnd w:id="14"/>
    <w:bookmarkStart w:id="15" w:name="price-action--sentiment-context"/>
    <w:p>
      <w:pPr>
        <w:pStyle w:val="Heading2"/>
      </w:pPr>
      <w:r>
        <w:t xml:space="preserve">Price action &amp; sentiment context</w:t>
      </w:r>
    </w:p>
    <w:p>
      <w:pPr>
        <w:pStyle w:val="FirstParagraph"/>
      </w:pPr>
      <w:r>
        <w:t xml:space="preserve">IBM ran to a near-record</w:t>
      </w:r>
      <w:r>
        <w:t xml:space="preserve"> </w:t>
      </w:r>
      <w:r>
        <w:rPr>
          <w:b/>
          <w:bCs/>
        </w:rPr>
        <w:t xml:space="preserve">~$306 on July 7</w:t>
      </w:r>
      <w:r>
        <w:t xml:space="preserve">, then collapsed:</w:t>
      </w:r>
    </w:p>
    <w:p>
      <w:pPr>
        <w:pStyle w:val="Compact"/>
        <w:numPr>
          <w:ilvl w:val="0"/>
          <w:numId w:val="1004"/>
        </w:numPr>
      </w:pPr>
      <w:r>
        <w:t xml:space="preserve">July 13 (day before warning):</w:t>
      </w:r>
      <w:r>
        <w:t xml:space="preserve"> </w:t>
      </w:r>
      <w:r>
        <w:rPr>
          <w:b/>
          <w:bCs/>
        </w:rPr>
        <w:t xml:space="preserve">$290</w:t>
      </w:r>
    </w:p>
    <w:p>
      <w:pPr>
        <w:pStyle w:val="Compact"/>
        <w:numPr>
          <w:ilvl w:val="0"/>
          <w:numId w:val="1004"/>
        </w:numPr>
      </w:pPr>
      <w:r>
        <w:t xml:space="preserve">July 14 (warning):</w:t>
      </w:r>
      <w:r>
        <w:t xml:space="preserve"> </w:t>
      </w:r>
      <w:r>
        <w:rPr>
          <w:b/>
          <w:bCs/>
        </w:rPr>
        <w:t xml:space="preserve">$217</w:t>
      </w:r>
      <w:r>
        <w:t xml:space="preserve"> </w:t>
      </w:r>
      <w:r>
        <w:t xml:space="preserve">(–25%)</w:t>
      </w:r>
    </w:p>
    <w:p>
      <w:pPr>
        <w:pStyle w:val="Compact"/>
        <w:numPr>
          <w:ilvl w:val="0"/>
          <w:numId w:val="1004"/>
        </w:numPr>
      </w:pPr>
      <w:r>
        <w:t xml:space="preserve">July 21 (day before call):</w:t>
      </w:r>
      <w:r>
        <w:t xml:space="preserve"> </w:t>
      </w:r>
      <w:r>
        <w:rPr>
          <w:b/>
          <w:bCs/>
        </w:rPr>
        <w:t xml:space="preserve">$210.54</w:t>
      </w:r>
    </w:p>
    <w:p>
      <w:pPr>
        <w:pStyle w:val="FirstParagraph"/>
      </w:pPr>
      <w:r>
        <w:t xml:space="preserve">That's roughly</w:t>
      </w:r>
      <w:r>
        <w:t xml:space="preserve"> </w:t>
      </w:r>
      <w:r>
        <w:rPr>
          <w:b/>
          <w:bCs/>
        </w:rPr>
        <w:t xml:space="preserve">–31% from the peak</w:t>
      </w:r>
      <w:r>
        <w:t xml:space="preserve"> </w:t>
      </w:r>
      <w:r>
        <w:t xml:space="preserve">in two weeks. The stock had been a crowded "AI infrastructure winner," which amplified the punishment. Mizuho's read is that the ~25% drop prices in a</w:t>
      </w:r>
      <w:r>
        <w:t xml:space="preserve"> </w:t>
      </w:r>
      <w:r>
        <w:rPr>
          <w:i/>
          <w:iCs/>
        </w:rPr>
        <w:t xml:space="preserve">more prolonged</w:t>
      </w:r>
      <w:r>
        <w:t xml:space="preserve"> </w:t>
      </w:r>
      <w:r>
        <w:t xml:space="preserve">slowdown than management has implied — meaning</w:t>
      </w:r>
      <w:r>
        <w:t xml:space="preserve"> </w:t>
      </w:r>
      <w:r>
        <w:rPr>
          <w:b/>
          <w:bCs/>
        </w:rPr>
        <w:t xml:space="preserve">if IBM delivers a credible, only-modestly-cut guide, there is room for a relief bounce; if guidance is vague or cut hard, the de-rating continues.</w:t>
      </w:r>
    </w:p>
    <w:p>
      <w:pPr>
        <w:pStyle w:val="BodyText"/>
      </w:pPr>
      <w:r>
        <w:t xml:space="preserve">Sell-side is fracturing: **HSBC cut to Reduce (Street-low ~</w:t>
      </w:r>
      <w:r>
        <w:t xml:space="preserve">$191 PT)**, arguing investors are better off in a "synthetic IBM" basket; Susquehanna had initiated Neutral (~$</w:t>
      </w:r>
      <w:r>
        <w:t xml:space="preserve">303) just before the crash, flagging both quantum upside and the risk that AI-assisted COBOL modernization erodes IBM's high-margin mainframe annuity.</w:t>
      </w:r>
    </w:p>
    <w:p>
      <w:r>
        <w:pict>
          <v:rect style="width:0;height:1.5pt" o:hralign="center" o:hrstd="t" o:hr="t"/>
        </w:pict>
      </w:r>
    </w:p>
    <w:bookmarkEnd w:id="15"/>
    <w:bookmarkStart w:id="16" w:name="bottom-line-for-investors"/>
    <w:p>
      <w:pPr>
        <w:pStyle w:val="Heading2"/>
      </w:pPr>
      <w:r>
        <w:t xml:space="preserve">Bottom line for investors</w:t>
      </w:r>
    </w:p>
    <w:p>
      <w:pPr>
        <w:pStyle w:val="FirstParagraph"/>
      </w:pPr>
      <w:r>
        <w:t xml:space="preserve">The bad news is out — this is no longer about the Q2 print. It's a</w:t>
      </w:r>
      <w:r>
        <w:t xml:space="preserve"> </w:t>
      </w:r>
      <w:r>
        <w:rPr>
          <w:b/>
          <w:bCs/>
        </w:rPr>
        <w:t xml:space="preserve">credibility and guidance event.</w:t>
      </w:r>
      <w:r>
        <w:t xml:space="preserve"> </w:t>
      </w:r>
      <w:r>
        <w:t xml:space="preserve">The setup is asymmetric in an unusual way: expectations are now on the floor after a historic crash, profitability and cash flow held up, and there are genuine bright spots (Red Hat, Confluent/HashiCorp, distributed infra, quantum).</w:t>
      </w:r>
    </w:p>
    <w:p>
      <w:pPr>
        <w:pStyle w:val="BodyText"/>
      </w:pPr>
      <w:r>
        <w:t xml:space="preserve">The key questions to judge the call by: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How deep is the full-year cut, and is FCF reaffirmed?</w:t>
      </w:r>
      <w:r>
        <w:t xml:space="preserve"> </w:t>
      </w:r>
      <w:r>
        <w:t xml:space="preserve">(FCF held = valuation floor holds.)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Is the miss framed as fixable timing/execution, or an admission of structural budget shift?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Is the mainframe/TP weakness a z17 timing air-pocket or the start of a cycle rolldown?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What does management say about capital returns, M&amp;A, and the activist/break-up chatter?</w:t>
      </w:r>
    </w:p>
    <w:p>
      <w:pPr>
        <w:pStyle w:val="FirstParagraph"/>
      </w:pPr>
      <w:r>
        <w:t xml:space="preserve">A confident, specific guide with reaffirmed cash flow could mark a bottom; a hedged or absent guide would confirm the market's fear that this is more than one bad quarter.</w:t>
      </w:r>
    </w:p>
    <w:p>
      <w:pPr>
        <w:pStyle w:val="BodyText"/>
      </w:pPr>
      <w:r>
        <w:rPr>
          <w:i/>
          <w:iCs/>
        </w:rPr>
        <w:t xml:space="preserve">(Note: figures above are IBM's preliminary/prior-guidance disclosures and market data through July 21, 2026; final reported results on July 22 could differ slightly, as IBM cautioned.)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2026-07-22T01:09:21Z</dcterms:created>
  <dcterms:modified xsi:type="dcterms:W3CDTF">2026-07-22T01:09:21Z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