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ibm-nyse-ibm--q2-2026-earnings-preview"/>
    <w:p>
      <w:pPr>
        <w:pStyle w:val="Heading1"/>
      </w:pPr>
      <w:r>
        <w:t xml:space="preserve">IBM (NYSE: IBM) — Q2 2026 Earnings Preview</w:t>
      </w:r>
    </w:p>
    <w:bookmarkStart w:id="9" w:name="Xf75e085e713f9e8a2d6b28f4b21c5c28a2635db"/>
    <w:p>
      <w:pPr>
        <w:pStyle w:val="Heading3"/>
      </w:pPr>
      <w:r>
        <w:t xml:space="preserve">Report Date: July 22, 2026 (after market close), Conference Call at 5:00 PM ET</w:t>
      </w:r>
    </w:p>
    <w:p>
      <w:r>
        <w:pict>
          <v:rect style="width:0;height:1.5pt" o:hralign="center" o:hrstd="t" o:hr="t"/>
        </w:pict>
      </w:r>
    </w:p>
    <w:bookmarkEnd w:id="9"/>
    <w:bookmarkStart w:id="10" w:name="X87caaf0e94b1b8f30d4f840704662454d400f96"/>
    <w:p>
      <w:pPr>
        <w:pStyle w:val="Heading2"/>
      </w:pPr>
      <w:r>
        <w:t xml:space="preserve">Unusual Setup: The Numbers Are Already Out</w:t>
      </w:r>
    </w:p>
    <w:p>
      <w:pPr>
        <w:pStyle w:val="FirstParagraph"/>
      </w:pPr>
      <w:r>
        <w:t xml:space="preserve">This is not a typical earnings preview. On July 14, IBM did something it rarely does: it released preliminary second-quarter financial results rather than waiting for its scheduled call, and the board decided the quarter was such a bust that it got ahead of it. The reaction was historic — IBM's stock dropped 25% in a single day, the worst day in the company's history, with the company ending the week with a market capitalization of just under $200 billion. Some reports pegged the single-day decline as the stock's largest one-day drop since 1968, wiping out roughly $69 billion in market capitalization.</w:t>
      </w:r>
    </w:p>
    <w:p>
      <w:pPr>
        <w:pStyle w:val="BodyText"/>
      </w:pPr>
      <w:r>
        <w:t xml:space="preserve">So tomorrow's print is less about "what were the numbers" (largely known) and much more about</w:t>
      </w:r>
      <w:r>
        <w:t xml:space="preserve"> </w:t>
      </w:r>
      <w:r>
        <w:rPr>
          <w:b/>
          <w:bCs/>
        </w:rPr>
        <w:t xml:space="preserve">credibility, guidance, and whether this was a one-quarter stumble or a structural shift</w:t>
      </w:r>
      <w:r>
        <w:t xml:space="preserve"> </w:t>
      </w:r>
      <w:r>
        <w:t xml:space="preserve">in enterprise tech spending away from IBM's model.</w:t>
      </w:r>
    </w:p>
    <w:bookmarkEnd w:id="10"/>
    <w:bookmarkStart w:id="11" w:name="X6a6b5163e9ab29ae99ad4e46a7c64d257295aa8"/>
    <w:p>
      <w:pPr>
        <w:pStyle w:val="Heading2"/>
      </w:pPr>
      <w:r>
        <w:t xml:space="preserve">What We Already Know: The Preliminary Print</w:t>
      </w:r>
    </w:p>
    <w:p>
      <w:pPr>
        <w:pStyle w:val="FirstParagraph"/>
      </w:pPr>
      <w:r>
        <w:t xml:space="preserve">From CEO Arvind Krishna's July 14 investor letter, preliminary Q2 2026 figures (vs. consensus):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Preliminary Result</w:t>
            </w:r>
          </w:p>
        </w:tc>
        <w:tc>
          <w:tcPr/>
          <w:p>
            <w:pPr>
              <w:pStyle w:val="Compact"/>
            </w:pPr>
            <w:r>
              <w:t xml:space="preserve">Street Estimate</w:t>
            </w:r>
          </w:p>
        </w:tc>
      </w:tr>
      <w:tr>
        <w:tc>
          <w:tcPr/>
          <w:p>
            <w:pPr>
              <w:pStyle w:val="Compact"/>
            </w:pPr>
            <w:r>
              <w:t xml:space="preserve">Revenue</w:t>
            </w:r>
          </w:p>
        </w:tc>
        <w:tc>
          <w:tcPr/>
          <w:p>
            <w:pPr>
              <w:pStyle w:val="Compact"/>
            </w:pPr>
            <w:r>
              <w:t xml:space="preserve">$17.2B, up 1%</w:t>
            </w:r>
          </w:p>
        </w:tc>
        <w:tc>
          <w:tcPr/>
          <w:p>
            <w:pPr>
              <w:pStyle w:val="Compact"/>
            </w:pPr>
            <w:r>
              <w:t xml:space="preserve">~$17.86B</w:t>
            </w:r>
          </w:p>
        </w:tc>
      </w:tr>
      <w:tr>
        <w:tc>
          <w:tcPr/>
          <w:p>
            <w:pPr>
              <w:pStyle w:val="Compact"/>
            </w:pPr>
            <w:r>
              <w:t xml:space="preserve">Software revenue</w:t>
            </w:r>
          </w:p>
        </w:tc>
        <w:tc>
          <w:tcPr/>
          <w:p>
            <w:pPr>
              <w:pStyle w:val="Compact"/>
            </w:pPr>
            <w:r>
              <w:t xml:space="preserve">up 5%</w:t>
            </w:r>
          </w:p>
        </w:tc>
        <w:tc>
          <w:tcPr/>
          <w:p>
            <w:pPr>
              <w:pStyle w:val="Compact"/>
            </w:pPr>
            <w:r>
              <w:t xml:space="preserve">—</w:t>
            </w:r>
          </w:p>
        </w:tc>
      </w:tr>
      <w:tr>
        <w:tc>
          <w:tcPr/>
          <w:p>
            <w:pPr>
              <w:pStyle w:val="Compact"/>
            </w:pPr>
            <w:r>
              <w:t xml:space="preserve">Consulting revenue</w:t>
            </w:r>
          </w:p>
        </w:tc>
        <w:tc>
          <w:tcPr/>
          <w:p>
            <w:pPr>
              <w:pStyle w:val="Compact"/>
            </w:pPr>
            <w:r>
              <w:t xml:space="preserve">flat (+1% constant currency)</w:t>
            </w:r>
          </w:p>
        </w:tc>
        <w:tc>
          <w:tcPr/>
          <w:p>
            <w:pPr>
              <w:pStyle w:val="Compact"/>
            </w:pPr>
            <w:r>
              <w:t xml:space="preserve">—</w:t>
            </w:r>
          </w:p>
        </w:tc>
      </w:tr>
      <w:tr>
        <w:tc>
          <w:tcPr/>
          <w:p>
            <w:pPr>
              <w:pStyle w:val="Compact"/>
            </w:pPr>
            <w:r>
              <w:t xml:space="preserve">Infrastructure revenue</w:t>
            </w:r>
          </w:p>
        </w:tc>
        <w:tc>
          <w:tcPr/>
          <w:p>
            <w:pPr>
              <w:pStyle w:val="Compact"/>
            </w:pPr>
            <w:r>
              <w:t xml:space="preserve">down 7%</w:t>
            </w:r>
          </w:p>
        </w:tc>
        <w:tc>
          <w:tcPr/>
          <w:p>
            <w:pPr>
              <w:pStyle w:val="Compact"/>
            </w:pPr>
            <w:r>
              <w:t xml:space="preserve">—</w:t>
            </w:r>
          </w:p>
        </w:tc>
      </w:tr>
      <w:tr>
        <w:tc>
          <w:tcPr/>
          <w:p>
            <w:pPr>
              <w:pStyle w:val="Compact"/>
            </w:pPr>
            <w:r>
              <w:t xml:space="preserve">Operating (non-GAAP) EPS</w:t>
            </w:r>
          </w:p>
        </w:tc>
        <w:tc>
          <w:tcPr/>
          <w:p>
            <w:pPr>
              <w:pStyle w:val="Compact"/>
            </w:pPr>
            <w:r>
              <w:t xml:space="preserve">$2.93</w:t>
            </w:r>
          </w:p>
        </w:tc>
        <w:tc>
          <w:tcPr/>
          <w:p>
            <w:pPr>
              <w:pStyle w:val="Compact"/>
            </w:pPr>
            <m:oMath>
              <m:r>
                <m:t>3.01</m:t>
              </m:r>
              <m:r>
                <m:rPr>
                  <m:sty m:val="p"/>
                </m:rPr>
                <m:t>–</m:t>
              </m:r>
            </m:oMath>
            <w:r>
              <w:t xml:space="preserve">3.02</w:t>
            </w:r>
          </w:p>
        </w:tc>
      </w:tr>
      <w:tr>
        <w:tc>
          <w:tcPr/>
          <w:p>
            <w:pPr>
              <w:pStyle w:val="Compact"/>
            </w:pPr>
            <w:r>
              <w:t xml:space="preserve">GAAP EPS</w:t>
            </w:r>
          </w:p>
        </w:tc>
        <w:tc>
          <w:tcPr/>
          <w:p>
            <w:pPr>
              <w:pStyle w:val="Compact"/>
            </w:pPr>
            <w:r>
              <w:t xml:space="preserve">$2.27, down 2%</w:t>
            </w:r>
          </w:p>
        </w:tc>
        <w:tc>
          <w:tcPr/>
          <w:p>
            <w:pPr>
              <w:pStyle w:val="Compact"/>
            </w:pPr>
            <w:r>
              <w:t xml:space="preserve">—</w:t>
            </w:r>
          </w:p>
        </w:tc>
      </w:tr>
      <w:tr>
        <w:tc>
          <w:tcPr/>
          <w:p>
            <w:pPr>
              <w:pStyle w:val="Compact"/>
            </w:pPr>
            <w:r>
              <w:t xml:space="preserve">Operating gross margin</w:t>
            </w:r>
          </w:p>
        </w:tc>
        <w:tc>
          <w:tcPr/>
          <w:p>
            <w:pPr>
              <w:pStyle w:val="Compact"/>
            </w:pPr>
            <w:r>
              <w:t xml:space="preserve">59.4%, down 70 bps</w:t>
            </w:r>
          </w:p>
        </w:tc>
        <w:tc>
          <w:tcPr/>
          <w:p>
            <w:pPr>
              <w:pStyle w:val="Compact"/>
            </w:pPr>
            <w:r>
              <w:t xml:space="preserve">—</w:t>
            </w:r>
          </w:p>
        </w:tc>
      </w:tr>
      <w:tr>
        <w:tc>
          <w:tcPr/>
          <w:p>
            <w:pPr>
              <w:pStyle w:val="Compact"/>
            </w:pPr>
            <w:r>
              <w:t xml:space="preserve">YTD free cash flow</w:t>
            </w:r>
          </w:p>
        </w:tc>
        <w:tc>
          <w:tcPr/>
          <w:p>
            <w:pPr>
              <w:pStyle w:val="Compact"/>
            </w:pPr>
            <w:r>
              <w:t xml:space="preserve">$4.8B</w:t>
            </w:r>
          </w:p>
        </w:tc>
        <w:tc>
          <w:tcPr/>
          <w:p>
            <w:pPr>
              <w:pStyle w:val="Compact"/>
            </w:pPr>
            <w:r>
              <w:t xml:space="preserve">—</w:t>
            </w:r>
          </w:p>
        </w:tc>
      </w:tr>
    </w:tbl>
    <w:p>
      <w:pPr>
        <w:pStyle w:val="BodyText"/>
      </w:pPr>
      <w:r>
        <w:t xml:space="preserve">The magnitude of the miss — particularly in Infrastructure — was the shock. Infrastructure revenue fell 7% as fewer companies bought mainframe hardware and high-margin software for banking and credit-card payment operations, a sharp reversal from the 12% Infrastructure growth (48% Z growth) reported just one quarter earlier.</w:t>
      </w:r>
    </w:p>
    <w:bookmarkEnd w:id="11"/>
    <w:bookmarkStart w:id="12" w:name="Xfbb7b9d5a88b7cea58a7a9be8b1281c0d0c02a5"/>
    <w:p>
      <w:pPr>
        <w:pStyle w:val="Heading2"/>
      </w:pPr>
      <w:r>
        <w:t xml:space="preserve">The Explanation: Capex Reallocation, Not (Yet) Demand Destruction</w:t>
      </w:r>
    </w:p>
    <w:p>
      <w:pPr>
        <w:pStyle w:val="FirstParagraph"/>
      </w:pPr>
      <w:r>
        <w:t xml:space="preserve">Management's stated cause is specific and important to interrogate tomorrow. Krishna wrote that in the last few weeks of June, clients shifted their quarterly capex spend toward servers, storage, and memory purchases to secure supply-constrained infrastructure ahead of expected price increases, and admitted the company did not anticipate the magnitude of the capex reprioritization. He also cited clients being distracted with rapidly-evolving, industry-wide cybersecurity concerns. Beyond the macro excuse, he owned execution: "we did not adapt and move quickly enough, and numerous large deals failed to close on the timelines we expected, driving the majority of our shortfall."</w:t>
      </w:r>
    </w:p>
    <w:p>
      <w:pPr>
        <w:pStyle w:val="BodyText"/>
      </w:pPr>
      <w:r>
        <w:t xml:space="preserve">Krishna did highlight pockets of strength buried in the release: Red Hat revenue growth accelerated sequentially to 11%, HashiCorp and Confluent delivered strong performance, Distributed Infrastructure had its best performance in reported history (up 37%, with a ~$500 million exit backlog), and z17 remained at nearly 130% program-to-program, well ahead of the record-setting z16 cycle.</w:t>
      </w:r>
    </w:p>
    <w:bookmarkEnd w:id="12"/>
    <w:bookmarkStart w:id="13" w:name="why-this-matters-more-than-a-normal-miss"/>
    <w:p>
      <w:pPr>
        <w:pStyle w:val="Heading2"/>
      </w:pPr>
      <w:r>
        <w:t xml:space="preserve">Why This Matters More Than a Normal Miss</w:t>
      </w:r>
    </w:p>
    <w:p>
      <w:pPr>
        <w:pStyle w:val="FirstParagraph"/>
      </w:pPr>
      <w:r>
        <w:t xml:space="preserve">The debate investors will want resolved on the call is whether IBM is a</w:t>
      </w:r>
      <w:r>
        <w:t xml:space="preserve"> </w:t>
      </w:r>
      <w:r>
        <w:rPr>
          <w:b/>
          <w:bCs/>
        </w:rPr>
        <w:t xml:space="preserve">victim of an industry-wide AI capex squeeze</w:t>
      </w:r>
      <w:r>
        <w:t xml:space="preserve"> </w:t>
      </w:r>
      <w:r>
        <w:t xml:space="preserve">or facing</w:t>
      </w:r>
      <w:r>
        <w:t xml:space="preserve"> </w:t>
      </w:r>
      <w:r>
        <w:rPr>
          <w:b/>
          <w:bCs/>
        </w:rPr>
        <w:t xml:space="preserve">company-specific execution/relevance problems</w:t>
      </w:r>
      <w:r>
        <w:t xml:space="preserve">. Evidence points both ways:</w:t>
      </w:r>
    </w:p>
    <w:p>
      <w:pPr>
        <w:pStyle w:val="Compact"/>
        <w:numPr>
          <w:ilvl w:val="0"/>
          <w:numId w:val="1001"/>
        </w:numPr>
      </w:pPr>
      <w:r>
        <w:rPr>
          <w:b/>
          <w:bCs/>
        </w:rPr>
        <w:t xml:space="preserve">Industry-wide angle</w:t>
      </w:r>
      <w:r>
        <w:t xml:space="preserve">: The miss dragged down software peers including Microsoft, Workday, Oracle, Salesforce, and Autodesk, and raised significant questions about whether corporate IT budgets are shifting dramatically from legacy software to hardware. Bloomberg Intelligence's Anna Grana suggested this might not be a one-off, with the impact potentially extending beyond one quarter.</w:t>
      </w:r>
    </w:p>
    <w:p>
      <w:pPr>
        <w:pStyle w:val="Compact"/>
        <w:numPr>
          <w:ilvl w:val="0"/>
          <w:numId w:val="1001"/>
        </w:numPr>
      </w:pPr>
      <w:r>
        <w:rPr>
          <w:b/>
          <w:bCs/>
        </w:rPr>
        <w:t xml:space="preserve">Company-specific/structural angle</w:t>
      </w:r>
      <w:r>
        <w:t xml:space="preserve">: HSBC downgraded the stock to Reduce and cut its price target to $191 from $231, proposing a "synthetic IBM" basket of IonQ, SAP, Accenture, and HP Inc that it projects will deliver 2030 EPS of $23.15 versus $16.59 for IBM. Susquehanna's James Friedman (initiated Neutral just before the crash) warned that AI-assisted COBOL modernization could compress IBM's high-margin mainframe annuity and consulting pricing power, and characterized the bulk of IBM's AI business as sitting in low-margin consulting... calling it "a fragile end market," with hyperscalers potentially relegating IBM's watsonx portfolio to niche workloads. Separately, reports that Starbucks is using proprietary AI tools to reduce its reliance on packaged software from IBM and Microsoft fed the "AI-disintermediation" narrative. IBM Vice Chairman Gary Cohn pushed back directly, stating on CNBC that the company's software is not being disrupted by AI.</w:t>
      </w:r>
    </w:p>
    <w:p>
      <w:pPr>
        <w:pStyle w:val="Compact"/>
        <w:numPr>
          <w:ilvl w:val="0"/>
          <w:numId w:val="1001"/>
        </w:numPr>
      </w:pPr>
      <w:r>
        <w:t xml:space="preserve">Jim Cramer offered a skeptical middle view: corporate IT spending is shifting away from software toward cybersecurity, hardware and AI tokens, and argued IBM has too many products and services that fall into categories being de-prioritized by corporate IT budgets.</w:t>
      </w:r>
    </w:p>
    <w:bookmarkEnd w:id="13"/>
    <w:bookmarkStart w:id="14" w:name="key-questions-for-the-call"/>
    <w:p>
      <w:pPr>
        <w:pStyle w:val="Heading2"/>
      </w:pPr>
      <w:r>
        <w:t xml:space="preserve">Key Questions for the Call</w:t>
      </w:r>
    </w:p>
    <w:p>
      <w:pPr>
        <w:pStyle w:val="Compact"/>
        <w:numPr>
          <w:ilvl w:val="0"/>
          <w:numId w:val="1002"/>
        </w:numPr>
      </w:pPr>
      <w:r>
        <w:rPr>
          <w:b/>
          <w:bCs/>
        </w:rPr>
        <w:t xml:space="preserve">Guidance credibility.</w:t>
      </w:r>
      <w:r>
        <w:t xml:space="preserve"> </w:t>
      </w:r>
      <w:r>
        <w:t xml:space="preserve">At the Q1 call (April), IBM guided to 5%+ constant-currency revenue growth for FY26, with Software raised to 10%+ growth, Consulting accelerating to low-to-mid-single digits, and free cash flow growth of ~$1 billion. Software actually printed +5% and Infrastructure fell 7% in Q2 — both far off the trajectory implied.</w:t>
      </w:r>
      <w:r>
        <w:t xml:space="preserve"> </w:t>
      </w:r>
      <w:r>
        <w:rPr>
          <w:b/>
          <w:bCs/>
        </w:rPr>
        <w:t xml:space="preserve">Does management cut, reset, or attempt to defend full-year guidance?</w:t>
      </w:r>
    </w:p>
    <w:p>
      <w:pPr>
        <w:pStyle w:val="Compact"/>
        <w:numPr>
          <w:ilvl w:val="0"/>
          <w:numId w:val="1002"/>
        </w:numPr>
      </w:pPr>
      <w:r>
        <w:rPr>
          <w:b/>
          <w:bCs/>
        </w:rPr>
        <w:t xml:space="preserve">Is the capex-reallocation story temporary or structural?</w:t>
      </w:r>
      <w:r>
        <w:t xml:space="preserve"> </w:t>
      </w:r>
      <w:r>
        <w:t xml:space="preserve">Was this a one-quarter pull-forward as clients front-ran memory/server price hikes, or the start of a durable shift of enterprise budget dollars toward AI infrastructure at the expense of IBM's software/mainframe stack?</w:t>
      </w:r>
    </w:p>
    <w:p>
      <w:pPr>
        <w:pStyle w:val="Compact"/>
        <w:numPr>
          <w:ilvl w:val="0"/>
          <w:numId w:val="1002"/>
        </w:numPr>
      </w:pPr>
      <w:r>
        <w:rPr>
          <w:b/>
          <w:bCs/>
        </w:rPr>
        <w:t xml:space="preserve">Deal slippage — did it recover?</w:t>
      </w:r>
      <w:r>
        <w:t xml:space="preserve"> </w:t>
      </w:r>
      <w:r>
        <w:t xml:space="preserve">Krishna said "numerous large deals" failed to close on expected timelines. Investors will want to know whether those deals closed in early Q3 or remain stuck.</w:t>
      </w:r>
    </w:p>
    <w:p>
      <w:pPr>
        <w:pStyle w:val="Compact"/>
        <w:numPr>
          <w:ilvl w:val="0"/>
          <w:numId w:val="1002"/>
        </w:numPr>
      </w:pPr>
      <w:r>
        <w:rPr>
          <w:b/>
          <w:bCs/>
        </w:rPr>
        <w:t xml:space="preserve">Capital allocation and dividend safety.</w:t>
      </w:r>
      <w:r>
        <w:t xml:space="preserve"> </w:t>
      </w:r>
      <w:r>
        <w:t xml:space="preserve">Following the selloff, IBM's dividend yield jumped to 3.1% from 2.2%, but the company generated about $13 billion in free cash flow over the past year, more than double the $6 billion cost of its annual dividend — a point management will likely reinforce. Watch for commentary on buybacks, appetite for further M&amp;A after Confluent/HashiCorp, and the newly disclosed $10 billion investment in quantum computing over the coming years, alongside the $1B DoC quantum-foundry commitment ("Anderon") — a lot of capital deployment amid a credibility crisis.</w:t>
      </w:r>
    </w:p>
    <w:p>
      <w:pPr>
        <w:pStyle w:val="Compact"/>
        <w:numPr>
          <w:ilvl w:val="0"/>
          <w:numId w:val="1002"/>
        </w:numPr>
      </w:pPr>
      <w:r>
        <w:rPr>
          <w:b/>
          <w:bCs/>
        </w:rPr>
        <w:t xml:space="preserve">Activist/breakup risk.</w:t>
      </w:r>
      <w:r>
        <w:t xml:space="preserve"> </w:t>
      </w:r>
      <w:r>
        <w:t xml:space="preserve">WSJ reporting indicates IBM's board and its advisors recognize that the stock's weakness could expose the company to an activist campaign, and coverage has raised the question of whether IBM should be broken apart. Management will likely be pressed on portfolio strategy defense.</w:t>
      </w:r>
    </w:p>
    <w:p>
      <w:pPr>
        <w:pStyle w:val="Compact"/>
        <w:numPr>
          <w:ilvl w:val="0"/>
          <w:numId w:val="1002"/>
        </w:numPr>
      </w:pPr>
      <w:r>
        <w:rPr>
          <w:b/>
          <w:bCs/>
        </w:rPr>
        <w:t xml:space="preserve">Segment guardrails.</w:t>
      </w:r>
      <w:r>
        <w:t xml:space="preserve"> </w:t>
      </w:r>
      <w:r>
        <w:t xml:space="preserve">Specific detail on Transaction Processing software attach following the z17 wobble, RHEL/Red Hat trajectory, and whether the cybersecurity "distraction" cited as a Q2 headwind has abated.</w:t>
      </w:r>
    </w:p>
    <w:bookmarkEnd w:id="14"/>
    <w:bookmarkStart w:id="15" w:name="market-context-going-into-the-print"/>
    <w:p>
      <w:pPr>
        <w:pStyle w:val="Heading2"/>
      </w:pPr>
      <w:r>
        <w:t xml:space="preserve">Market Context Going Into the Print</w:t>
      </w:r>
    </w:p>
    <w:p>
      <w:pPr>
        <w:pStyle w:val="FirstParagraph"/>
      </w:pPr>
      <w:r>
        <w:t xml:space="preserve">IBM shares are a study in whiplash: from roughly</w:t>
      </w:r>
      <w:r>
        <w:t xml:space="preserve"> </w:t>
      </w:r>
      <m:oMath>
        <m:r>
          <m:t>320</m:t>
        </m:r>
        <m:r>
          <m:t>i</m:t>
        </m:r>
        <m:r>
          <m:t>n</m:t>
        </m:r>
        <m:r>
          <m:t>e</m:t>
        </m:r>
        <m:r>
          <m:t>a</m:t>
        </m:r>
        <m:r>
          <m:t>r</m:t>
        </m:r>
        <m:r>
          <m:t>l</m:t>
        </m:r>
        <m:r>
          <m:t>y</m:t>
        </m:r>
        <m:r>
          <m:t>J</m:t>
        </m:r>
        <m:r>
          <m:t>u</m:t>
        </m:r>
        <m:r>
          <m:t>n</m:t>
        </m:r>
        <m:r>
          <m:t>e</m:t>
        </m:r>
        <m:r>
          <m:rPr>
            <m:sty m:val="p"/>
          </m:rPr>
          <m:t>,</m:t>
        </m:r>
        <m:r>
          <m:t>t</m:t>
        </m:r>
        <m:r>
          <m:t>h</m:t>
        </m:r>
        <m:r>
          <m:t>e</m:t>
        </m:r>
        <m:r>
          <m:t>s</m:t>
        </m:r>
        <m:r>
          <m:t>t</m:t>
        </m:r>
        <m:r>
          <m:t>o</m:t>
        </m:r>
        <m:r>
          <m:t>c</m:t>
        </m:r>
        <m:r>
          <m:t>k</m:t>
        </m:r>
        <m:r>
          <m:t>s</m:t>
        </m:r>
        <m:r>
          <m:t>l</m:t>
        </m:r>
        <m:r>
          <m:t>i</m:t>
        </m:r>
        <m:r>
          <m:t>d</m:t>
        </m:r>
        <m:r>
          <m:t>s</m:t>
        </m:r>
        <m:r>
          <m:t>t</m:t>
        </m:r>
        <m:r>
          <m:t>e</m:t>
        </m:r>
        <m:r>
          <m:t>a</m:t>
        </m:r>
        <m:r>
          <m:t>d</m:t>
        </m:r>
        <m:r>
          <m:t>i</m:t>
        </m:r>
        <m:r>
          <m:t>l</m:t>
        </m:r>
        <m:r>
          <m:t>y</m:t>
        </m:r>
        <m:r>
          <m:t>i</m:t>
        </m:r>
        <m:r>
          <m:t>n</m:t>
        </m:r>
        <m:r>
          <m:t>t</m:t>
        </m:r>
        <m:r>
          <m:t>o</m:t>
        </m:r>
        <m:r>
          <m:t>t</m:t>
        </m:r>
        <m:r>
          <m:t>h</m:t>
        </m:r>
        <m:r>
          <m:t>e</m:t>
        </m:r>
        <m:r>
          <m:t>h</m:t>
        </m:r>
        <m:r>
          <m:t>i</m:t>
        </m:r>
        <m:r>
          <m:t>g</m:t>
        </m:r>
        <m:r>
          <m:t>h</m:t>
        </m:r>
        <m:r>
          <m:rPr>
            <m:sty m:val="p"/>
          </m:rPr>
          <m:t>−</m:t>
        </m:r>
      </m:oMath>
      <w:r>
        <w:t xml:space="preserve">260s/low-$270s by mid-June (independent of the eventual warning), rallied back above</w:t>
      </w:r>
      <w:r>
        <w:t xml:space="preserve"> </w:t>
      </w:r>
      <m:oMath>
        <m:r>
          <m:t>300</m:t>
        </m:r>
        <m:r>
          <m:t>b</m:t>
        </m:r>
        <m:r>
          <m:t>y</m:t>
        </m:r>
        <m:r>
          <m:t>J</m:t>
        </m:r>
        <m:r>
          <m:t>u</m:t>
        </m:r>
        <m:r>
          <m:t>l</m:t>
        </m:r>
        <m:r>
          <m:t>y</m:t>
        </m:r>
        <m:r>
          <m:t>8</m:t>
        </m:r>
        <m:r>
          <m:rPr>
            <m:sty m:val="p"/>
          </m:rPr>
          <m:t>–</m:t>
        </m:r>
        <m:r>
          <m:t>10</m:t>
        </m:r>
        <m:r>
          <m:t>o</m:t>
        </m:r>
        <m:r>
          <m:t>n</m:t>
        </m:r>
        <m:r>
          <m:t>m</m:t>
        </m:r>
        <m:r>
          <m:t>o</m:t>
        </m:r>
        <m:r>
          <m:t>m</m:t>
        </m:r>
        <m:r>
          <m:t>e</m:t>
        </m:r>
        <m:r>
          <m:t>n</m:t>
        </m:r>
        <m:r>
          <m:t>t</m:t>
        </m:r>
        <m:r>
          <m:t>u</m:t>
        </m:r>
        <m:r>
          <m:t>m</m:t>
        </m:r>
        <m:r>
          <m:t>a</m:t>
        </m:r>
        <m:r>
          <m:t>n</m:t>
        </m:r>
        <m:r>
          <m:t>d</m:t>
        </m:r>
        <m:r>
          <m:t>a</m:t>
        </m:r>
        <m:r>
          <m:t>n</m:t>
        </m:r>
        <m:r>
          <m:t>a</m:t>
        </m:r>
        <m:r>
          <m:t>n</m:t>
        </m:r>
        <m:r>
          <m:t>a</m:t>
        </m:r>
        <m:r>
          <m:t>l</m:t>
        </m:r>
        <m:r>
          <m:t>y</m:t>
        </m:r>
        <m:r>
          <m:t>s</m:t>
        </m:r>
        <m:r>
          <m:t>t</m:t>
        </m:r>
        <m:r>
          <m:t>i</m:t>
        </m:r>
        <m:r>
          <m:t>n</m:t>
        </m:r>
        <m:r>
          <m:t>i</m:t>
        </m:r>
        <m:r>
          <m:t>t</m:t>
        </m:r>
        <m:r>
          <m:t>i</m:t>
        </m:r>
        <m:r>
          <m:t>a</m:t>
        </m:r>
        <m:r>
          <m:t>t</m:t>
        </m:r>
        <m:r>
          <m:t>i</m:t>
        </m:r>
        <m:r>
          <m:t>o</m:t>
        </m:r>
        <m:r>
          <m:t>n</m:t>
        </m:r>
        <m:r>
          <m:rPr>
            <m:sty m:val="p"/>
          </m:rPr>
          <m:t>,</m:t>
        </m:r>
        <m:r>
          <m:t>t</m:t>
        </m:r>
        <m:r>
          <m:t>h</m:t>
        </m:r>
        <m:r>
          <m:t>e</m:t>
        </m:r>
        <m:r>
          <m:t>n</m:t>
        </m:r>
        <m:r>
          <m:t>c</m:t>
        </m:r>
        <m:r>
          <m:t>r</m:t>
        </m:r>
        <m:r>
          <m:t>a</m:t>
        </m:r>
        <m:r>
          <m:t>t</m:t>
        </m:r>
        <m:r>
          <m:t>e</m:t>
        </m:r>
        <m:r>
          <m:t>r</m:t>
        </m:r>
        <m:r>
          <m:t>e</m:t>
        </m:r>
        <m:r>
          <m:t>d</m:t>
        </m:r>
        <m:r>
          <m:t>f</m:t>
        </m:r>
        <m:r>
          <m:t>r</m:t>
        </m:r>
        <m:r>
          <m:t>o</m:t>
        </m:r>
        <m:r>
          <m:t>m</m:t>
        </m:r>
        <m:r>
          <m:rPr>
            <m:sty m:val="p"/>
          </m:rPr>
          <m:t>*</m:t>
        </m:r>
        <m:r>
          <m:rPr>
            <m:sty m:val="p"/>
          </m:rPr>
          <m:t>*</m:t>
        </m:r>
      </m:oMath>
      <w:r>
        <w:t xml:space="preserve">290 to</w:t>
      </w:r>
      <w:r>
        <w:t xml:space="preserve"> </w:t>
      </w:r>
      <m:oMath>
        <m:r>
          <m:t>217</m:t>
        </m:r>
        <m:r>
          <m:t>i</m:t>
        </m:r>
        <m:r>
          <m:t>n</m:t>
        </m:r>
        <m:r>
          <m:t>a</m:t>
        </m:r>
        <m:r>
          <m:t>s</m:t>
        </m:r>
        <m:r>
          <m:t>i</m:t>
        </m:r>
        <m:r>
          <m:t>n</m:t>
        </m:r>
        <m:r>
          <m:t>g</m:t>
        </m:r>
        <m:r>
          <m:t>l</m:t>
        </m:r>
        <m:r>
          <m:t>e</m:t>
        </m:r>
        <m:r>
          <m:t>s</m:t>
        </m:r>
        <m:r>
          <m:t>e</m:t>
        </m:r>
        <m:r>
          <m:t>s</m:t>
        </m:r>
        <m:r>
          <m:t>s</m:t>
        </m:r>
        <m:r>
          <m:t>i</m:t>
        </m:r>
        <m:r>
          <m:t>o</m:t>
        </m:r>
        <m:r>
          <m:t>n</m:t>
        </m:r>
        <m:r>
          <m:t>o</m:t>
        </m:r>
        <m:r>
          <m:t>n</m:t>
        </m:r>
        <m:r>
          <m:t>J</m:t>
        </m:r>
        <m:r>
          <m:t>u</m:t>
        </m:r>
        <m:r>
          <m:t>l</m:t>
        </m:r>
        <m:r>
          <m:t>y</m:t>
        </m:r>
        <m:r>
          <m:t>14</m:t>
        </m:r>
        <m:r>
          <m:rPr>
            <m:sty m:val="p"/>
          </m:rPr>
          <m:t>*</m:t>
        </m:r>
        <m:r>
          <m:rPr>
            <m:sty m:val="p"/>
          </m:rPr>
          <m:t>*</m:t>
        </m:r>
        <m:r>
          <m:t>a</m:t>
        </m:r>
        <m:r>
          <m:t>n</m:t>
        </m:r>
        <m:r>
          <m:t>d</m:t>
        </m:r>
        <m:r>
          <m:t>h</m:t>
        </m:r>
        <m:r>
          <m:t>a</m:t>
        </m:r>
        <m:r>
          <m:t>s</m:t>
        </m:r>
        <m:r>
          <m:t>d</m:t>
        </m:r>
        <m:r>
          <m:t>r</m:t>
        </m:r>
        <m:r>
          <m:t>i</m:t>
        </m:r>
        <m:r>
          <m:t>f</m:t>
        </m:r>
        <m:r>
          <m:t>t</m:t>
        </m:r>
        <m:r>
          <m:t>e</m:t>
        </m:r>
        <m:r>
          <m:t>d</m:t>
        </m:r>
        <m:r>
          <m:t>l</m:t>
        </m:r>
        <m:r>
          <m:t>o</m:t>
        </m:r>
        <m:r>
          <m:t>w</m:t>
        </m:r>
        <m:r>
          <m:t>e</m:t>
        </m:r>
        <m:r>
          <m:t>r</m:t>
        </m:r>
        <m:r>
          <m:t>s</m:t>
        </m:r>
        <m:r>
          <m:t>i</m:t>
        </m:r>
        <m:r>
          <m:t>n</m:t>
        </m:r>
        <m:r>
          <m:t>c</m:t>
        </m:r>
        <m:r>
          <m:t>e</m:t>
        </m:r>
        <m:r>
          <m:rPr>
            <m:sty m:val="p"/>
          </m:rPr>
          <m:t>,</m:t>
        </m:r>
        <m:r>
          <m:t>c</m:t>
        </m:r>
        <m:r>
          <m:t>l</m:t>
        </m:r>
        <m:r>
          <m:t>o</m:t>
        </m:r>
        <m:r>
          <m:t>s</m:t>
        </m:r>
        <m:r>
          <m:t>i</m:t>
        </m:r>
        <m:r>
          <m:t>n</m:t>
        </m:r>
        <m:r>
          <m:t>g</m:t>
        </m:r>
        <m:r>
          <m:t>a</m:t>
        </m:r>
        <m:r>
          <m:t>r</m:t>
        </m:r>
        <m:r>
          <m:t>o</m:t>
        </m:r>
        <m:r>
          <m:t>u</m:t>
        </m:r>
        <m:r>
          <m:t>n</m:t>
        </m:r>
        <m:r>
          <m:t>d</m:t>
        </m:r>
        <m:r>
          <m:rPr>
            <m:sty m:val="p"/>
          </m:rPr>
          <m:t>*</m:t>
        </m:r>
        <m:r>
          <m:rPr>
            <m:sty m:val="p"/>
          </m:rPr>
          <m:t>*</m:t>
        </m:r>
      </m:oMath>
      <w:r>
        <w:t xml:space="preserve">210.54 on July 21**. Notably, just before the warning, shares had rallied 25% in the second quarter, bringing them near record highs, though the stock was down less than 1% year-to-date, trailing the S&amp;P 500's 10%+ gain — meaning a lot of the "AI infrastructure winner" premium had already been unwound heading into the print. As Mizuho's Dan O'Regan noted, while the stock had become a crowded AI infrastructure winner trading near all-time highs making it vulnerable to punishment for execution issues, the magnitude of the decline suggests the market is pricing in a much more prolonged slowdown than management has implied — a gap tomorrow's call needs to close.</w:t>
      </w:r>
    </w:p>
    <w:bookmarkEnd w:id="15"/>
    <w:bookmarkStart w:id="16" w:name="bottom-line"/>
    <w:p>
      <w:pPr>
        <w:pStyle w:val="Heading2"/>
      </w:pPr>
      <w:r>
        <w:t xml:space="preserve">Bottom Line</w:t>
      </w:r>
    </w:p>
    <w:p>
      <w:pPr>
        <w:pStyle w:val="FirstParagraph"/>
      </w:pPr>
      <w:r>
        <w:t xml:space="preserve">The actual EPS/revenue print is stale news. The report that matters tomorrow is about</w:t>
      </w:r>
      <w:r>
        <w:t xml:space="preserve"> </w:t>
      </w:r>
      <w:r>
        <w:rPr>
          <w:b/>
          <w:bCs/>
        </w:rPr>
        <w:t xml:space="preserve">narrative repair</w:t>
      </w:r>
      <w:r>
        <w:t xml:space="preserve">: can Krishna and CFO Jim Kavanaugh convincingly separate a temporary, industry-wide AI-capex-driven pull-forward from a structural erosion of IBM's software and mainframe annuity model? Watch closely for (1) explicit full-year guidance (raised, maintained, or cut), (2) any quantification of how much of the "shifted" Q2 demand has already come back in July, (3) tone and specificity on Software durability versus AI-disintermediation fears, and (4) any signals on capital return, M&amp;A, or portfolio actions that address the growing activist/breakup chatter. Given the stock's historic drop already priced in a severe outcome, the bar for a "relief rally" may be lower than usual — but so is management's margin for another disappointment.</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2026-07-22T01:10:00Z</dcterms:created>
  <dcterms:modified xsi:type="dcterms:W3CDTF">2026-07-22T01:10:00Z</dcterms:modified>
</cp:coreProperties>
</file>

<file path=docProps/custom.xml><?xml version="1.0" encoding="utf-8"?>
<Properties xmlns="http://schemas.openxmlformats.org/officeDocument/2006/custom-properties" xmlns:vt="http://schemas.openxmlformats.org/officeDocument/2006/docPropsVTypes"/>
</file>