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ibm-2026-q2-earnings-preview"/>
    <w:p>
      <w:pPr>
        <w:pStyle w:val="Heading1"/>
      </w:pPr>
      <w:r>
        <w:t xml:space="preserve">IBM 2026 Q2 Earnings Preview</w:t>
      </w:r>
    </w:p>
    <w:p>
      <w:pPr>
        <w:pStyle w:val="BlockText"/>
      </w:pPr>
      <w:r>
        <w:rPr>
          <w:b/>
          <w:bCs/>
        </w:rPr>
        <w:t xml:space="preserve">Timing note:</w:t>
      </w:r>
      <w:r>
        <w:t xml:space="preserve"> </w:t>
      </w:r>
      <w:r>
        <w:t xml:space="preserve">IBM’s second-quarter earnings call is scheduled for</w:t>
      </w:r>
      <w:r>
        <w:t xml:space="preserve"> </w:t>
      </w:r>
      <w:r>
        <w:rPr>
          <w:b/>
          <w:bCs/>
        </w:rPr>
        <w:t xml:space="preserve">today, Wednesday, July 22, 2026, at 5:00 p.m. ET</w:t>
      </w:r>
      <w:r>
        <w:t xml:space="preserve">, not tomorrow. The company already released preliminary results on July 14, so tonight’s event will be primarily about</w:t>
      </w:r>
      <w:r>
        <w:t xml:space="preserve"> </w:t>
      </w:r>
      <w:r>
        <w:rPr>
          <w:b/>
          <w:bCs/>
        </w:rPr>
        <w:t xml:space="preserve">full-year guidance, the durability of software demand, and whether the quarter’s shortfall was temporary or structural</w:t>
      </w:r>
      <w:r>
        <w:t xml:space="preserve">.</w:t>
      </w:r>
    </w:p>
    <w:bookmarkStart w:id="9" w:name="executive-view"/>
    <w:p>
      <w:pPr>
        <w:pStyle w:val="Heading2"/>
      </w:pPr>
      <w:r>
        <w:t xml:space="preserve">Executive view</w:t>
      </w:r>
    </w:p>
    <w:p>
      <w:pPr>
        <w:pStyle w:val="FirstParagraph"/>
      </w:pPr>
      <w:r>
        <w:t xml:space="preserve">This is no longer a conventional earnings report. IBM has already disclosed most of the headline numbers—and they were meaningfully below expectations. The stock has fallen approximately</w:t>
      </w:r>
      <w:r>
        <w:t xml:space="preserve"> </w:t>
      </w:r>
      <w:r>
        <w:rPr>
          <w:b/>
          <w:bCs/>
        </w:rPr>
        <w:t xml:space="preserve">27% since July 13</w:t>
      </w:r>
      <w:r>
        <w:t xml:space="preserve">, including a 25% decline immediately following the warning.</w:t>
      </w:r>
    </w:p>
    <w:p>
      <w:pPr>
        <w:pStyle w:val="BodyText"/>
      </w:pPr>
      <w:r>
        <w:t xml:space="preserve">The central investment question is:</w:t>
      </w:r>
    </w:p>
    <w:p>
      <w:pPr>
        <w:pStyle w:val="BlockText"/>
      </w:pPr>
      <w:r>
        <w:rPr>
          <w:b/>
          <w:bCs/>
        </w:rPr>
        <w:t xml:space="preserve">Did IBM suffer a short-lived disruption in deal timing and customer budgets, or is AI infrastructure spending structurally crowding out demand for IBM’s software and mainframe ecosystem?</w:t>
      </w:r>
    </w:p>
    <w:p>
      <w:pPr>
        <w:pStyle w:val="FirstParagraph"/>
      </w:pPr>
      <w:r>
        <w:t xml:space="preserve">Management’s guidance will matter far more than small changes to the preliminary figures. A credible explanation, evidence that delayed deals remain recoverable, and preservation of free-cash-flow expectations could stabilize the shares. A substantial guidance cut—or vague answers on software demand—would suggest that the July 14 selloff was not merely an overreaction.</w:t>
      </w:r>
    </w:p>
    <w:p>
      <w:r>
        <w:pict>
          <v:rect style="width:0;height:1.5pt" o:hralign="center" o:hrstd="t" o:hr="t"/>
        </w:pict>
      </w:r>
    </w:p>
    <w:bookmarkEnd w:id="9"/>
    <w:bookmarkStart w:id="10" w:name="what-ibm-has-already-disclosed"/>
    <w:p>
      <w:pPr>
        <w:pStyle w:val="Heading2"/>
      </w:pPr>
      <w:r>
        <w:t xml:space="preserve">What IBM has already disclosed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preliminary result</w:t>
            </w:r>
          </w:p>
        </w:tc>
        <w:tc>
          <w:tcPr/>
          <w:p>
            <w:pPr>
              <w:pStyle w:val="Compact"/>
              <w:jc w:val="right"/>
            </w:pPr>
            <w:r>
              <w:t xml:space="preserve">Performance</w:t>
            </w:r>
          </w:p>
        </w:tc>
      </w:tr>
      <w:tr>
        <w:tc>
          <w:tcPr/>
          <w:p>
            <w:pPr>
              <w:pStyle w:val="Compact"/>
            </w:pPr>
            <w:r>
              <w:t xml:space="preserve">Revenue</w:t>
            </w:r>
          </w:p>
        </w:tc>
        <w:tc>
          <w:tcPr/>
          <w:p>
            <w:pPr>
              <w:pStyle w:val="Compact"/>
              <w:jc w:val="right"/>
            </w:pPr>
            <w:r>
              <w:rPr>
                <w:b/>
                <w:bCs/>
              </w:rPr>
              <w:t xml:space="preserve">$17.2 billion</w:t>
            </w:r>
            <w:r>
              <w:t xml:space="preserve">, up 1%</w:t>
            </w:r>
          </w:p>
        </w:tc>
      </w:tr>
      <w:tr>
        <w:tc>
          <w:tcPr/>
          <w:p>
            <w:pPr>
              <w:pStyle w:val="Compact"/>
            </w:pPr>
            <w:r>
              <w:t xml:space="preserve">Software revenue</w:t>
            </w:r>
          </w:p>
        </w:tc>
        <w:tc>
          <w:tcPr/>
          <w:p>
            <w:pPr>
              <w:pStyle w:val="Compact"/>
              <w:jc w:val="right"/>
            </w:pPr>
            <w:r>
              <w:rPr>
                <w:b/>
                <w:bCs/>
              </w:rPr>
              <w:t xml:space="preserve">Up 5%</w:t>
            </w:r>
          </w:p>
        </w:tc>
      </w:tr>
      <w:tr>
        <w:tc>
          <w:tcPr/>
          <w:p>
            <w:pPr>
              <w:pStyle w:val="Compact"/>
            </w:pPr>
            <w:r>
              <w:t xml:space="preserve">Consulting revenue</w:t>
            </w:r>
          </w:p>
        </w:tc>
        <w:tc>
          <w:tcPr/>
          <w:p>
            <w:pPr>
              <w:pStyle w:val="Compact"/>
              <w:jc w:val="right"/>
            </w:pPr>
            <w:r>
              <w:rPr>
                <w:b/>
                <w:bCs/>
              </w:rPr>
              <w:t xml:space="preserve">Flat; up 1% at constant currency</w:t>
            </w:r>
          </w:p>
        </w:tc>
      </w:tr>
      <w:tr>
        <w:tc>
          <w:tcPr/>
          <w:p>
            <w:pPr>
              <w:pStyle w:val="Compact"/>
            </w:pPr>
            <w:r>
              <w:t xml:space="preserve">Infrastructure revenue</w:t>
            </w:r>
          </w:p>
        </w:tc>
        <w:tc>
          <w:tcPr/>
          <w:p>
            <w:pPr>
              <w:pStyle w:val="Compact"/>
              <w:jc w:val="right"/>
            </w:pPr>
            <w:r>
              <w:rPr>
                <w:b/>
                <w:bCs/>
              </w:rPr>
              <w:t xml:space="preserve">Down 7%</w:t>
            </w:r>
          </w:p>
        </w:tc>
      </w:tr>
      <w:tr>
        <w:tc>
          <w:tcPr/>
          <w:p>
            <w:pPr>
              <w:pStyle w:val="Compact"/>
            </w:pPr>
            <w:r>
              <w:t xml:space="preserve">Operating gross margin</w:t>
            </w:r>
          </w:p>
        </w:tc>
        <w:tc>
          <w:tcPr/>
          <w:p>
            <w:pPr>
              <w:pStyle w:val="Compact"/>
              <w:jc w:val="right"/>
            </w:pPr>
            <w:r>
              <w:rPr>
                <w:b/>
                <w:bCs/>
              </w:rPr>
              <w:t xml:space="preserve">59.4%, down 70 bps</w:t>
            </w:r>
          </w:p>
        </w:tc>
      </w:tr>
      <w:tr>
        <w:tc>
          <w:tcPr/>
          <w:p>
            <w:pPr>
              <w:pStyle w:val="Compact"/>
            </w:pPr>
            <w:r>
              <w:t xml:space="preserve">Operating pretax margin</w:t>
            </w:r>
          </w:p>
        </w:tc>
        <w:tc>
          <w:tcPr/>
          <w:p>
            <w:pPr>
              <w:pStyle w:val="Compact"/>
              <w:jc w:val="right"/>
            </w:pPr>
            <w:r>
              <w:rPr>
                <w:b/>
                <w:bCs/>
              </w:rPr>
              <w:t xml:space="preserve">19.2%, up 30 bps</w:t>
            </w:r>
          </w:p>
        </w:tc>
      </w:tr>
      <w:tr>
        <w:tc>
          <w:tcPr/>
          <w:p>
            <w:pPr>
              <w:pStyle w:val="Compact"/>
            </w:pPr>
            <w:r>
              <w:t xml:space="preserve">Adjusted EPS</w:t>
            </w:r>
          </w:p>
        </w:tc>
        <w:tc>
          <w:tcPr/>
          <w:p>
            <w:pPr>
              <w:pStyle w:val="Compact"/>
              <w:jc w:val="right"/>
            </w:pPr>
            <w:r>
              <w:rPr>
                <w:b/>
                <w:bCs/>
              </w:rPr>
              <w:t xml:space="preserve">$2.93, up 5%</w:t>
            </w:r>
          </w:p>
        </w:tc>
      </w:tr>
      <w:tr>
        <w:tc>
          <w:tcPr/>
          <w:p>
            <w:pPr>
              <w:pStyle w:val="Compact"/>
            </w:pPr>
            <w:r>
              <w:t xml:space="preserve">GAAP EPS</w:t>
            </w:r>
          </w:p>
        </w:tc>
        <w:tc>
          <w:tcPr/>
          <w:p>
            <w:pPr>
              <w:pStyle w:val="Compact"/>
              <w:jc w:val="right"/>
            </w:pPr>
            <w:r>
              <w:rPr>
                <w:b/>
                <w:bCs/>
              </w:rPr>
              <w:t xml:space="preserve">$2.27, down 2%</w:t>
            </w:r>
          </w:p>
        </w:tc>
      </w:tr>
      <w:tr>
        <w:tc>
          <w:tcPr/>
          <w:p>
            <w:pPr>
              <w:pStyle w:val="Compact"/>
            </w:pPr>
            <w:r>
              <w:t xml:space="preserve">First-half free cash flow</w:t>
            </w:r>
          </w:p>
        </w:tc>
        <w:tc>
          <w:tcPr/>
          <w:p>
            <w:pPr>
              <w:pStyle w:val="Compact"/>
              <w:jc w:val="right"/>
            </w:pPr>
            <w:r>
              <w:rPr>
                <w:b/>
                <w:bCs/>
              </w:rPr>
              <w:t xml:space="preserve">$4.76 billion</w:t>
            </w:r>
          </w:p>
        </w:tc>
      </w:tr>
    </w:tbl>
    <w:p>
      <w:pPr>
        <w:pStyle w:val="BodyText"/>
      </w:pPr>
      <w:r>
        <w:t xml:space="preserve">Before the warning, consensus was approximately</w:t>
      </w:r>
      <w:r>
        <w:t xml:space="preserve"> </w:t>
      </w:r>
      <w:r>
        <w:rPr>
          <w:b/>
          <w:bCs/>
        </w:rPr>
        <w:t xml:space="preserve">$17.86 billion of revenue and</w:t>
      </w:r>
      <w:r>
        <w:rPr>
          <w:b/>
          <w:bCs/>
        </w:rPr>
        <w:t xml:space="preserve"> </w:t>
      </w:r>
      <m:oMath>
        <m:r>
          <m:t>3.01</m:t>
        </m:r>
        <m:r>
          <m:rPr>
            <m:sty m:val="p"/>
          </m:rPr>
          <m:t>–</m:t>
        </m:r>
      </m:oMath>
      <w:r>
        <w:rPr>
          <w:b/>
          <w:bCs/>
        </w:rPr>
        <w:t xml:space="preserve">3.02 of adjusted EPS</w:t>
      </w:r>
      <w:r>
        <w:t xml:space="preserve">. The preliminary figures therefore missed revenue expectations by roughly 4% and EPS by approximately 3%.</w:t>
      </w:r>
    </w:p>
    <w:p>
      <w:pPr>
        <w:pStyle w:val="BodyText"/>
      </w:pPr>
      <w:r>
        <w:t xml:space="preserve">IBM attributed most of the shortfall to:</w:t>
      </w:r>
    </w:p>
    <w:p>
      <w:pPr>
        <w:pStyle w:val="Compact"/>
        <w:numPr>
          <w:ilvl w:val="0"/>
          <w:numId w:val="1001"/>
        </w:numPr>
      </w:pPr>
      <w:r>
        <w:t xml:space="preserve">Customers redirecting June budgets toward supply-constrained servers, storage and memory ahead of expected price increases.</w:t>
      </w:r>
    </w:p>
    <w:p>
      <w:pPr>
        <w:pStyle w:val="Compact"/>
        <w:numPr>
          <w:ilvl w:val="0"/>
          <w:numId w:val="1001"/>
        </w:numPr>
      </w:pPr>
      <w:r>
        <w:t xml:space="preserve">A weaker-than-expected decline in IBM Z and associated Transaction Processing software.</w:t>
      </w:r>
    </w:p>
    <w:p>
      <w:pPr>
        <w:pStyle w:val="Compact"/>
        <w:numPr>
          <w:ilvl w:val="0"/>
          <w:numId w:val="1001"/>
        </w:numPr>
      </w:pPr>
      <w:r>
        <w:t xml:space="preserve">Cybersecurity concerns distracting customers and delaying purchasing decisions.</w:t>
      </w:r>
    </w:p>
    <w:p>
      <w:pPr>
        <w:pStyle w:val="Compact"/>
        <w:numPr>
          <w:ilvl w:val="0"/>
          <w:numId w:val="1001"/>
        </w:numPr>
      </w:pPr>
      <w:r>
        <w:t xml:space="preserve">IBM’s own execution failures, with numerous large transactions not closing on schedule.</w:t>
      </w:r>
    </w:p>
    <w:p>
      <w:pPr>
        <w:pStyle w:val="FirstParagraph"/>
      </w:pPr>
      <w:r>
        <w:t xml:space="preserve">Management emphasized that Red Hat accelerated to</w:t>
      </w:r>
      <w:r>
        <w:t xml:space="preserve"> </w:t>
      </w:r>
      <w:r>
        <w:rPr>
          <w:b/>
          <w:bCs/>
        </w:rPr>
        <w:t xml:space="preserve">11% growth</w:t>
      </w:r>
      <w:r>
        <w:t xml:space="preserve">, recent acquisitions performed well, and Distributed Infrastructure grew</w:t>
      </w:r>
      <w:r>
        <w:t xml:space="preserve"> </w:t>
      </w:r>
      <w:r>
        <w:rPr>
          <w:b/>
          <w:bCs/>
        </w:rPr>
        <w:t xml:space="preserve">37%</w:t>
      </w:r>
      <w:r>
        <w:t xml:space="preserve">. But these positives did not offset weakness in the more profitable mainframe-related software stack.</w:t>
      </w:r>
    </w:p>
    <w:p>
      <w:r>
        <w:pict>
          <v:rect style="width:0;height:1.5pt" o:hralign="center" o:hrstd="t" o:hr="t"/>
        </w:pict>
      </w:r>
    </w:p>
    <w:bookmarkEnd w:id="10"/>
    <w:bookmarkStart w:id="16" w:name="the-five-issues-that-matter-most"/>
    <w:p>
      <w:pPr>
        <w:pStyle w:val="Heading2"/>
      </w:pPr>
      <w:r>
        <w:t xml:space="preserve">The five issues that matter most</w:t>
      </w:r>
    </w:p>
    <w:bookmarkStart w:id="11" w:name="X3d409103aa10039a1a4a04fa6ffe5d822be9ecc"/>
    <w:p>
      <w:pPr>
        <w:pStyle w:val="Heading3"/>
      </w:pPr>
      <w:r>
        <w:t xml:space="preserve">1. How far does full-year guidance come down?</w:t>
      </w:r>
    </w:p>
    <w:p>
      <w:pPr>
        <w:pStyle w:val="FirstParagraph"/>
      </w:pPr>
      <w:r>
        <w:t xml:space="preserve">IBM entered the quarter targeting:</w:t>
      </w:r>
    </w:p>
    <w:p>
      <w:pPr>
        <w:pStyle w:val="Compact"/>
        <w:numPr>
          <w:ilvl w:val="0"/>
          <w:numId w:val="1002"/>
        </w:numPr>
      </w:pPr>
      <w:r>
        <w:t xml:space="preserve">At least</w:t>
      </w:r>
      <w:r>
        <w:t xml:space="preserve"> </w:t>
      </w:r>
      <w:r>
        <w:rPr>
          <w:b/>
          <w:bCs/>
        </w:rPr>
        <w:t xml:space="preserve">5% constant-currency revenue growth</w:t>
      </w:r>
      <w:r>
        <w:t xml:space="preserve">.</w:t>
      </w:r>
    </w:p>
    <w:p>
      <w:pPr>
        <w:pStyle w:val="Compact"/>
        <w:numPr>
          <w:ilvl w:val="0"/>
          <w:numId w:val="1002"/>
        </w:numPr>
      </w:pPr>
      <w:r>
        <w:t xml:space="preserve">More than</w:t>
      </w:r>
      <w:r>
        <w:t xml:space="preserve"> </w:t>
      </w:r>
      <w:r>
        <w:rPr>
          <w:b/>
          <w:bCs/>
        </w:rPr>
        <w:t xml:space="preserve">10% Software growth</w:t>
      </w:r>
      <w:r>
        <w:t xml:space="preserve">.</w:t>
      </w:r>
    </w:p>
    <w:p>
      <w:pPr>
        <w:pStyle w:val="Compact"/>
        <w:numPr>
          <w:ilvl w:val="0"/>
          <w:numId w:val="1002"/>
        </w:numPr>
      </w:pPr>
      <w:r>
        <w:t xml:space="preserve">Low- to mid-single-digit Consulting growth.</w:t>
      </w:r>
    </w:p>
    <w:p>
      <w:pPr>
        <w:pStyle w:val="Compact"/>
        <w:numPr>
          <w:ilvl w:val="0"/>
          <w:numId w:val="1002"/>
        </w:numPr>
      </w:pPr>
      <w:r>
        <w:t xml:space="preserve">A low-single-digit decline in Infrastructure.</w:t>
      </w:r>
    </w:p>
    <w:p>
      <w:pPr>
        <w:pStyle w:val="Compact"/>
        <w:numPr>
          <w:ilvl w:val="0"/>
          <w:numId w:val="1002"/>
        </w:numPr>
      </w:pPr>
      <w:r>
        <w:t xml:space="preserve">Approximately</w:t>
      </w:r>
      <w:r>
        <w:t xml:space="preserve"> </w:t>
      </w:r>
      <w:r>
        <w:rPr>
          <w:b/>
          <w:bCs/>
        </w:rPr>
        <w:t xml:space="preserve">one point of operating pretax margin expansion</w:t>
      </w:r>
      <w:r>
        <w:t xml:space="preserve">.</w:t>
      </w:r>
    </w:p>
    <w:p>
      <w:pPr>
        <w:pStyle w:val="Compact"/>
        <w:numPr>
          <w:ilvl w:val="0"/>
          <w:numId w:val="1002"/>
        </w:numPr>
      </w:pPr>
      <w:r>
        <w:t xml:space="preserve">About</w:t>
      </w:r>
      <w:r>
        <w:t xml:space="preserve"> </w:t>
      </w:r>
      <w:r>
        <w:rPr>
          <w:b/>
          <w:bCs/>
        </w:rPr>
        <w:t xml:space="preserve">$15.7 billion of free cash flow</w:t>
      </w:r>
      <w:r>
        <w:t xml:space="preserve">, up roughly $1 billion.</w:t>
      </w:r>
    </w:p>
    <w:p>
      <w:pPr>
        <w:pStyle w:val="FirstParagraph"/>
      </w:pPr>
      <w:r>
        <w:t xml:space="preserve">Several of those assumptions now appear difficult to retain unchanged.</w:t>
      </w:r>
    </w:p>
    <w:p>
      <w:pPr>
        <w:pStyle w:val="BodyText"/>
      </w:pPr>
      <w:r>
        <w:t xml:space="preserve">Software grew only 5% in Q2, despite contributions from Confluent and HashiCorp. Infrastructure declined 7%, versus the prior expectation for only a low-single-digit full-year decline. Consulting also failed to show the anticipated acceleration.</w:t>
      </w:r>
    </w:p>
    <w:p>
      <w:pPr>
        <w:pStyle w:val="BodyText"/>
      </w:pPr>
      <w:r>
        <w:t xml:space="preserve">The call needs to provide a complete, quantified reset rather than simply characterize Q2 as disappointing. Investors should focus on:</w:t>
      </w:r>
    </w:p>
    <w:p>
      <w:pPr>
        <w:pStyle w:val="Compact"/>
        <w:numPr>
          <w:ilvl w:val="0"/>
          <w:numId w:val="1003"/>
        </w:numPr>
      </w:pPr>
      <w:r>
        <w:t xml:space="preserve">Revised full-year constant-currency revenue growth.</w:t>
      </w:r>
    </w:p>
    <w:p>
      <w:pPr>
        <w:pStyle w:val="Compact"/>
        <w:numPr>
          <w:ilvl w:val="0"/>
          <w:numId w:val="1003"/>
        </w:numPr>
      </w:pPr>
      <w:r>
        <w:t xml:space="preserve">Revised Software growth, preferably with organic and acquisition contributions separated.</w:t>
      </w:r>
    </w:p>
    <w:p>
      <w:pPr>
        <w:pStyle w:val="Compact"/>
        <w:numPr>
          <w:ilvl w:val="0"/>
          <w:numId w:val="1003"/>
        </w:numPr>
      </w:pPr>
      <w:r>
        <w:t xml:space="preserve">The new Infrastructure outlook.</w:t>
      </w:r>
    </w:p>
    <w:p>
      <w:pPr>
        <w:pStyle w:val="Compact"/>
        <w:numPr>
          <w:ilvl w:val="0"/>
          <w:numId w:val="1003"/>
        </w:numPr>
      </w:pPr>
      <w:r>
        <w:t xml:space="preserve">Whether the approximately one-point pretax-margin expansion target survives.</w:t>
      </w:r>
    </w:p>
    <w:p>
      <w:pPr>
        <w:pStyle w:val="Compact"/>
        <w:numPr>
          <w:ilvl w:val="0"/>
          <w:numId w:val="1003"/>
        </w:numPr>
      </w:pPr>
      <w:r>
        <w:t xml:space="preserve">Whether IBM still expects around $15.7 billion of free cash flow.</w:t>
      </w:r>
    </w:p>
    <w:p>
      <w:pPr>
        <w:pStyle w:val="FirstParagraph"/>
      </w:pPr>
      <w:r>
        <w:t xml:space="preserve">A modest revenue reduction accompanied by stable margin and cash-flow guidance would be considerably better than a broad reset across all metrics.</w:t>
      </w:r>
    </w:p>
    <w:p>
      <w:r>
        <w:pict>
          <v:rect style="width:0;height:1.5pt" o:hralign="center" o:hrstd="t" o:hr="t"/>
        </w:pict>
      </w:r>
    </w:p>
    <w:bookmarkEnd w:id="11"/>
    <w:bookmarkStart w:id="12" w:name="Xce6e299ab4f097b7faa91f9006799294776e764"/>
    <w:p>
      <w:pPr>
        <w:pStyle w:val="Heading3"/>
      </w:pPr>
      <w:r>
        <w:t xml:space="preserve">2. Is the software miss temporary—or an early sign of budget displacement?</w:t>
      </w:r>
    </w:p>
    <w:p>
      <w:pPr>
        <w:pStyle w:val="FirstParagraph"/>
      </w:pPr>
      <w:r>
        <w:t xml:space="preserve">Software is the foundation of IBM’s investment case. It represents roughly 45% of revenue but a much larger share of profit, and it was expected to produce more than 10% growth this year.</w:t>
      </w:r>
    </w:p>
    <w:p>
      <w:pPr>
        <w:pStyle w:val="BodyText"/>
      </w:pPr>
      <w:r>
        <w:t xml:space="preserve">The Q2 composition was mixed:</w:t>
      </w:r>
    </w:p>
    <w:p>
      <w:pPr>
        <w:pStyle w:val="Compact"/>
        <w:numPr>
          <w:ilvl w:val="0"/>
          <w:numId w:val="1004"/>
        </w:numPr>
      </w:pPr>
      <w:r>
        <w:rPr>
          <w:b/>
          <w:bCs/>
        </w:rPr>
        <w:t xml:space="preserve">Red Hat grew 11%</w:t>
      </w:r>
      <w:r>
        <w:t xml:space="preserve">, accelerating sequentially.</w:t>
      </w:r>
    </w:p>
    <w:p>
      <w:pPr>
        <w:pStyle w:val="Compact"/>
        <w:numPr>
          <w:ilvl w:val="0"/>
          <w:numId w:val="1004"/>
        </w:numPr>
      </w:pPr>
      <w:r>
        <w:t xml:space="preserve">Confluent and HashiCorp reportedly performed well.</w:t>
      </w:r>
    </w:p>
    <w:p>
      <w:pPr>
        <w:pStyle w:val="Compact"/>
        <w:numPr>
          <w:ilvl w:val="0"/>
          <w:numId w:val="1004"/>
        </w:numPr>
      </w:pPr>
      <w:r>
        <w:t xml:space="preserve">Overall Software grew only</w:t>
      </w:r>
      <w:r>
        <w:t xml:space="preserve"> </w:t>
      </w:r>
      <w:r>
        <w:rPr>
          <w:b/>
          <w:bCs/>
        </w:rPr>
        <w:t xml:space="preserve">5%</w:t>
      </w:r>
      <w:r>
        <w:t xml:space="preserve">.</w:t>
      </w:r>
    </w:p>
    <w:p>
      <w:pPr>
        <w:pStyle w:val="Compact"/>
        <w:numPr>
          <w:ilvl w:val="0"/>
          <w:numId w:val="1004"/>
        </w:numPr>
      </w:pPr>
      <w:r>
        <w:t xml:space="preserve">Transaction Processing and other mainframe-related software were weaker than expected.</w:t>
      </w:r>
    </w:p>
    <w:p>
      <w:pPr>
        <w:pStyle w:val="FirstParagraph"/>
      </w:pPr>
      <w:r>
        <w:t xml:space="preserve">The key issue is whether customers merely delayed transactions into the second half or have made more durable changes to technology budgets. Management’s explanation—that customers unexpectedly redirected spending toward memory, servers and storage—is plausible, but it raises another concern: those infrastructure requirements may remain expensive for several quarters rather than disappear after June.</w:t>
      </w:r>
    </w:p>
    <w:p>
      <w:pPr>
        <w:pStyle w:val="BodyText"/>
      </w:pPr>
      <w:r>
        <w:t xml:space="preserve">Investors should listen for:</w:t>
      </w:r>
    </w:p>
    <w:p>
      <w:pPr>
        <w:pStyle w:val="Compact"/>
        <w:numPr>
          <w:ilvl w:val="0"/>
          <w:numId w:val="1005"/>
        </w:numPr>
      </w:pPr>
      <w:r>
        <w:t xml:space="preserve">Software growth excluding acquisitions.</w:t>
      </w:r>
    </w:p>
    <w:p>
      <w:pPr>
        <w:pStyle w:val="Compact"/>
        <w:numPr>
          <w:ilvl w:val="0"/>
          <w:numId w:val="1005"/>
        </w:numPr>
      </w:pPr>
      <w:r>
        <w:t xml:space="preserve">Changes in annual recurring revenue and renewal rates.</w:t>
      </w:r>
    </w:p>
    <w:p>
      <w:pPr>
        <w:pStyle w:val="Compact"/>
        <w:numPr>
          <w:ilvl w:val="0"/>
          <w:numId w:val="1005"/>
        </w:numPr>
      </w:pPr>
      <w:r>
        <w:t xml:space="preserve">Transaction Processing performance and its relationship to installed IBM Z capacity.</w:t>
      </w:r>
    </w:p>
    <w:p>
      <w:pPr>
        <w:pStyle w:val="Compact"/>
        <w:numPr>
          <w:ilvl w:val="0"/>
          <w:numId w:val="1005"/>
        </w:numPr>
      </w:pPr>
      <w:r>
        <w:t xml:space="preserve">The dollar value of delayed software deals.</w:t>
      </w:r>
    </w:p>
    <w:p>
      <w:pPr>
        <w:pStyle w:val="Compact"/>
        <w:numPr>
          <w:ilvl w:val="0"/>
          <w:numId w:val="1005"/>
        </w:numPr>
      </w:pPr>
      <w:r>
        <w:t xml:space="preserve">How much of the missed business has closed since June 30.</w:t>
      </w:r>
    </w:p>
    <w:p>
      <w:pPr>
        <w:pStyle w:val="Compact"/>
        <w:numPr>
          <w:ilvl w:val="0"/>
          <w:numId w:val="1005"/>
        </w:numPr>
      </w:pPr>
      <w:r>
        <w:t xml:space="preserve">Whether IBM has changed its second-half pipeline conversion assumptions.</w:t>
      </w:r>
    </w:p>
    <w:p>
      <w:pPr>
        <w:pStyle w:val="FirstParagraph"/>
      </w:pPr>
      <w:r>
        <w:t xml:space="preserve">Red Hat’s 11% growth is an important support, but it will not fully answer concerns if the rest of the software portfolio remains weak.</w:t>
      </w:r>
    </w:p>
    <w:p>
      <w:r>
        <w:pict>
          <v:rect style="width:0;height:1.5pt" o:hralign="center" o:hrstd="t" o:hr="t"/>
        </w:pict>
      </w:r>
    </w:p>
    <w:bookmarkEnd w:id="12"/>
    <w:bookmarkStart w:id="13" w:name="X91541ccf5815c805e3b89c4e9c0b773ecd5f6ea"/>
    <w:p>
      <w:pPr>
        <w:pStyle w:val="Heading3"/>
      </w:pPr>
      <w:r>
        <w:t xml:space="preserve">3. What actually happened to the mainframe cycle?</w:t>
      </w:r>
    </w:p>
    <w:p>
      <w:pPr>
        <w:pStyle w:val="FirstParagraph"/>
      </w:pPr>
      <w:r>
        <w:t xml:space="preserve">The most confusing aspect of the warning is that IBM says z17 remains an exceptionally strong program—at nearly</w:t>
      </w:r>
      <w:r>
        <w:t xml:space="preserve"> </w:t>
      </w:r>
      <w:r>
        <w:rPr>
          <w:b/>
          <w:bCs/>
        </w:rPr>
        <w:t xml:space="preserve">130% of the comparable prior cycle</w:t>
      </w:r>
      <w:r>
        <w:t xml:space="preserve">—while also reporting a sharp quarterly Z and Transaction Processing shortfall.</w:t>
      </w:r>
    </w:p>
    <w:p>
      <w:pPr>
        <w:pStyle w:val="BodyText"/>
      </w:pPr>
      <w:r>
        <w:t xml:space="preserve">That tension needs to be resolved.</w:t>
      </w:r>
    </w:p>
    <w:p>
      <w:pPr>
        <w:pStyle w:val="BodyText"/>
      </w:pPr>
      <w:r>
        <w:t xml:space="preserve">IBM had warned that Infrastructure would decline after wrapping the unusually strong z17 launch. But the company expected a manageable product-cycle decline, not the magnitude experienced in Q2. Management now says numerous large transactions did not close on time.</w:t>
      </w:r>
    </w:p>
    <w:p>
      <w:pPr>
        <w:pStyle w:val="BodyText"/>
      </w:pPr>
      <w:r>
        <w:t xml:space="preserve">The critical distinction is between:</w:t>
      </w:r>
    </w:p>
    <w:p>
      <w:pPr>
        <w:pStyle w:val="Compact"/>
        <w:numPr>
          <w:ilvl w:val="0"/>
          <w:numId w:val="1006"/>
        </w:numPr>
      </w:pPr>
      <w:r>
        <w:rPr>
          <w:b/>
          <w:bCs/>
        </w:rPr>
        <w:t xml:space="preserve">Timing:</w:t>
      </w:r>
      <w:r>
        <w:t xml:space="preserve"> </w:t>
      </w:r>
      <w:r>
        <w:t xml:space="preserve">customers still intend to buy, with transactions shifted into Q3 or Q4.</w:t>
      </w:r>
    </w:p>
    <w:p>
      <w:pPr>
        <w:pStyle w:val="Compact"/>
        <w:numPr>
          <w:ilvl w:val="0"/>
          <w:numId w:val="1006"/>
        </w:numPr>
      </w:pPr>
      <w:r>
        <w:rPr>
          <w:b/>
          <w:bCs/>
        </w:rPr>
        <w:t xml:space="preserve">Budget pressure:</w:t>
      </w:r>
      <w:r>
        <w:t xml:space="preserve"> </w:t>
      </w:r>
      <w:r>
        <w:t xml:space="preserve">customers want the products but lack sufficient near-term budget.</w:t>
      </w:r>
    </w:p>
    <w:p>
      <w:pPr>
        <w:pStyle w:val="Compact"/>
        <w:numPr>
          <w:ilvl w:val="0"/>
          <w:numId w:val="1006"/>
        </w:numPr>
      </w:pPr>
      <w:r>
        <w:rPr>
          <w:b/>
          <w:bCs/>
        </w:rPr>
        <w:t xml:space="preserve">Demand deterioration:</w:t>
      </w:r>
      <w:r>
        <w:t xml:space="preserve"> </w:t>
      </w:r>
      <w:r>
        <w:t xml:space="preserve">expected capacity additions or associated software purchases are no longer likely.</w:t>
      </w:r>
    </w:p>
    <w:p>
      <w:pPr>
        <w:pStyle w:val="FirstParagraph"/>
      </w:pPr>
      <w:r>
        <w:t xml:space="preserve">IBM also exited Q2 with approximately</w:t>
      </w:r>
      <w:r>
        <w:t xml:space="preserve"> </w:t>
      </w:r>
      <w:r>
        <w:rPr>
          <w:b/>
          <w:bCs/>
        </w:rPr>
        <w:t xml:space="preserve">$500 million of Distributed Infrastructure backlog</w:t>
      </w:r>
      <w:r>
        <w:t xml:space="preserve">, following 37% growth in Power and Storage. Investors should determine whether this represents incremental demand or merely spending redirected away from higher-margin IBM Z and software offerings.</w:t>
      </w:r>
    </w:p>
    <w:p>
      <w:pPr>
        <w:pStyle w:val="BodyText"/>
      </w:pPr>
      <w:r>
        <w:t xml:space="preserve">A dollar-based bridge of delayed deals, cancellations and expected second-half closings would be much more useful than additional program-to-program percentages.</w:t>
      </w:r>
    </w:p>
    <w:p>
      <w:r>
        <w:pict>
          <v:rect style="width:0;height:1.5pt" o:hralign="center" o:hrstd="t" o:hr="t"/>
        </w:pict>
      </w:r>
    </w:p>
    <w:bookmarkEnd w:id="13"/>
    <w:bookmarkStart w:id="14" w:name="Xd9320e2a5bac0de624ac8297b5270e3cd4e9d11"/>
    <w:p>
      <w:pPr>
        <w:pStyle w:val="Heading3"/>
      </w:pPr>
      <w:r>
        <w:t xml:space="preserve">4. Can margins and free cash flow hold despite weaker revenue?</w:t>
      </w:r>
    </w:p>
    <w:p>
      <w:pPr>
        <w:pStyle w:val="FirstParagraph"/>
      </w:pPr>
      <w:r>
        <w:t xml:space="preserve">There was one meaningful positive in the preliminary results: operating pretax margin expanded</w:t>
      </w:r>
      <w:r>
        <w:t xml:space="preserve"> </w:t>
      </w:r>
      <w:r>
        <w:rPr>
          <w:b/>
          <w:bCs/>
        </w:rPr>
        <w:t xml:space="preserve">30 basis points</w:t>
      </w:r>
      <w:r>
        <w:t xml:space="preserve">, even though operating gross margin declined 70 basis points. Productivity initiatives appear to have offset weaker mix and acquisition-related dilution below the gross-profit line.</w:t>
      </w:r>
    </w:p>
    <w:p>
      <w:pPr>
        <w:pStyle w:val="BodyText"/>
      </w:pPr>
      <w:r>
        <w:t xml:space="preserve">IBM generated</w:t>
      </w:r>
      <w:r>
        <w:t xml:space="preserve"> </w:t>
      </w:r>
      <w:r>
        <w:rPr>
          <w:b/>
          <w:bCs/>
        </w:rPr>
        <w:t xml:space="preserve">$4.76 billion of free cash flow during the first half</w:t>
      </w:r>
      <w:r>
        <w:t xml:space="preserve">. Since Q1 free cash flow was $2.22 billion, Q2 contributed approximately $2.54 billion.</w:t>
      </w:r>
    </w:p>
    <w:p>
      <w:pPr>
        <w:pStyle w:val="BodyText"/>
      </w:pPr>
      <w:r>
        <w:t xml:space="preserve">To achieve the previous</w:t>
      </w:r>
      <w:r>
        <w:t xml:space="preserve"> </w:t>
      </w:r>
      <m:oMath>
        <m:r>
          <m:t>15.7</m:t>
        </m:r>
        <m:r>
          <m:t>b</m:t>
        </m:r>
        <m:r>
          <m:t>i</m:t>
        </m:r>
        <m:r>
          <m:t>l</m:t>
        </m:r>
        <m:r>
          <m:t>l</m:t>
        </m:r>
        <m:r>
          <m:t>i</m:t>
        </m:r>
        <m:r>
          <m:t>o</m:t>
        </m:r>
        <m:r>
          <m:t>n</m:t>
        </m:r>
        <m:r>
          <m:t>f</m:t>
        </m:r>
        <m:r>
          <m:t>u</m:t>
        </m:r>
        <m:r>
          <m:t>l</m:t>
        </m:r>
        <m:r>
          <m:t>l</m:t>
        </m:r>
        <m:r>
          <m:rPr>
            <m:sty m:val="p"/>
          </m:rPr>
          <m:t>−</m:t>
        </m:r>
        <m:r>
          <m:t>y</m:t>
        </m:r>
        <m:r>
          <m:t>e</m:t>
        </m:r>
        <m:r>
          <m:t>a</m:t>
        </m:r>
        <m:r>
          <m:t>r</m:t>
        </m:r>
        <m:r>
          <m:t>t</m:t>
        </m:r>
        <m:r>
          <m:t>a</m:t>
        </m:r>
        <m:r>
          <m:t>r</m:t>
        </m:r>
        <m:r>
          <m:t>g</m:t>
        </m:r>
        <m:r>
          <m:t>e</m:t>
        </m:r>
        <m:r>
          <m:t>t</m:t>
        </m:r>
        <m:r>
          <m:rPr>
            <m:sty m:val="p"/>
          </m:rPr>
          <m:t>,</m:t>
        </m:r>
        <m:r>
          <m:t>I</m:t>
        </m:r>
        <m:r>
          <m:t>B</m:t>
        </m:r>
        <m:r>
          <m:t>M</m:t>
        </m:r>
        <m:r>
          <m:t>w</m:t>
        </m:r>
        <m:r>
          <m:t>o</m:t>
        </m:r>
        <m:r>
          <m:t>u</m:t>
        </m:r>
        <m:r>
          <m:t>l</m:t>
        </m:r>
        <m:r>
          <m:t>d</m:t>
        </m:r>
        <m:r>
          <m:t>n</m:t>
        </m:r>
        <m:r>
          <m:t>e</m:t>
        </m:r>
        <m:r>
          <m:t>e</m:t>
        </m:r>
        <m:r>
          <m:t>d</m:t>
        </m:r>
        <m:r>
          <m:t>r</m:t>
        </m:r>
        <m:r>
          <m:t>o</m:t>
        </m:r>
        <m:r>
          <m:t>u</m:t>
        </m:r>
        <m:r>
          <m:t>g</m:t>
        </m:r>
        <m:r>
          <m:t>h</m:t>
        </m:r>
        <m:r>
          <m:t>l</m:t>
        </m:r>
        <m:r>
          <m:t>y</m:t>
        </m:r>
        <m:r>
          <m:rPr>
            <m:sty m:val="p"/>
          </m:rPr>
          <m:t>*</m:t>
        </m:r>
        <m:r>
          <m:rPr>
            <m:sty m:val="p"/>
          </m:rPr>
          <m:t>*</m:t>
        </m:r>
      </m:oMath>
      <w:r>
        <w:t xml:space="preserve">10.94 billion in the second half**, or nearly 70% of its annual cash flow. IBM’s cash generation is seasonally weighted toward the end of the year, so this is not inherently impossible. But weaker software transactions and delayed customer payments increase the execution risk.</w:t>
      </w:r>
    </w:p>
    <w:p>
      <w:pPr>
        <w:pStyle w:val="BodyText"/>
      </w:pPr>
      <w:r>
        <w:t xml:space="preserve">Points to watch include:</w:t>
      </w:r>
    </w:p>
    <w:p>
      <w:pPr>
        <w:pStyle w:val="Compact"/>
        <w:numPr>
          <w:ilvl w:val="0"/>
          <w:numId w:val="1007"/>
        </w:numPr>
      </w:pPr>
      <w:r>
        <w:t xml:space="preserve">Whether delayed transactions affect only revenue timing or also cash collections.</w:t>
      </w:r>
    </w:p>
    <w:p>
      <w:pPr>
        <w:pStyle w:val="Compact"/>
        <w:numPr>
          <w:ilvl w:val="0"/>
          <w:numId w:val="1007"/>
        </w:numPr>
      </w:pPr>
      <w:r>
        <w:t xml:space="preserve">Working-capital assumptions for Q4.</w:t>
      </w:r>
    </w:p>
    <w:p>
      <w:pPr>
        <w:pStyle w:val="Compact"/>
        <w:numPr>
          <w:ilvl w:val="0"/>
          <w:numId w:val="1007"/>
        </w:numPr>
      </w:pPr>
      <w:r>
        <w:t xml:space="preserve">The size and timing of further restructuring or productivity actions.</w:t>
      </w:r>
    </w:p>
    <w:p>
      <w:pPr>
        <w:pStyle w:val="Compact"/>
        <w:numPr>
          <w:ilvl w:val="0"/>
          <w:numId w:val="1007"/>
        </w:numPr>
      </w:pPr>
      <w:r>
        <w:t xml:space="preserve">Whether gross-margin weakness continues as the business mix shifts.</w:t>
      </w:r>
    </w:p>
    <w:p>
      <w:pPr>
        <w:pStyle w:val="Compact"/>
        <w:numPr>
          <w:ilvl w:val="0"/>
          <w:numId w:val="1007"/>
        </w:numPr>
      </w:pPr>
      <w:r>
        <w:t xml:space="preserve">Incremental interest expense following the Confluent acquisition.</w:t>
      </w:r>
    </w:p>
    <w:p>
      <w:pPr>
        <w:pStyle w:val="Compact"/>
        <w:numPr>
          <w:ilvl w:val="0"/>
          <w:numId w:val="1007"/>
        </w:numPr>
      </w:pPr>
      <w:r>
        <w:t xml:space="preserve">Capital expenditures related to IBM’s new AI and quantum commitments.</w:t>
      </w:r>
    </w:p>
    <w:p>
      <w:pPr>
        <w:pStyle w:val="FirstParagraph"/>
      </w:pPr>
      <w:r>
        <w:t xml:space="preserve">Preserving the free-cash-flow target would provide an important valuation anchor. A material reduction would weaken both the dividend-support argument and the post-selloff value case.</w:t>
      </w:r>
    </w:p>
    <w:p>
      <w:r>
        <w:pict>
          <v:rect style="width:0;height:1.5pt" o:hralign="center" o:hrstd="t" o:hr="t"/>
        </w:pict>
      </w:r>
    </w:p>
    <w:bookmarkEnd w:id="14"/>
    <w:bookmarkStart w:id="15" w:name="X05fca299b0f1b5831dfb54c88ee723d92d317c5"/>
    <w:p>
      <w:pPr>
        <w:pStyle w:val="Heading3"/>
      </w:pPr>
      <w:r>
        <w:t xml:space="preserve">5. Is AI helping IBM—or crowding it out?</w:t>
      </w:r>
    </w:p>
    <w:p>
      <w:pPr>
        <w:pStyle w:val="FirstParagraph"/>
      </w:pPr>
      <w:r>
        <w:t xml:space="preserve">IBM has positioned itself as an enterprise AI beneficiary through Red Hat, watsonx, automation, Consulting, mainframe inferencing and governed data infrastructure. Q2 exposed the other side of that thesis: AI infrastructure costs can absorb technology budgets that otherwise would have been available for software and services.</w:t>
      </w:r>
    </w:p>
    <w:p>
      <w:pPr>
        <w:pStyle w:val="BodyText"/>
      </w:pPr>
      <w:r>
        <w:t xml:space="preserve">Management needs to distinguish between two narratives:</w:t>
      </w:r>
    </w:p>
    <w:p>
      <w:pPr>
        <w:pStyle w:val="BodyText"/>
      </w:pPr>
      <w:r>
        <w:rPr>
          <w:b/>
          <w:bCs/>
        </w:rPr>
        <w:t xml:space="preserve">IBM’s preferred narrative</w:t>
      </w:r>
    </w:p>
    <w:p>
      <w:pPr>
        <w:pStyle w:val="Compact"/>
        <w:numPr>
          <w:ilvl w:val="0"/>
          <w:numId w:val="1008"/>
        </w:numPr>
      </w:pPr>
      <w:r>
        <w:t xml:space="preserve">Customers temporarily accelerated hardware purchases because of scarcity and expected price increases.</w:t>
      </w:r>
    </w:p>
    <w:p>
      <w:pPr>
        <w:pStyle w:val="Compact"/>
        <w:numPr>
          <w:ilvl w:val="0"/>
          <w:numId w:val="1008"/>
        </w:numPr>
      </w:pPr>
      <w:r>
        <w:t xml:space="preserve">IBM’s software demand remains intact.</w:t>
      </w:r>
    </w:p>
    <w:p>
      <w:pPr>
        <w:pStyle w:val="Compact"/>
        <w:numPr>
          <w:ilvl w:val="0"/>
          <w:numId w:val="1008"/>
        </w:numPr>
      </w:pPr>
      <w:r>
        <w:t xml:space="preserve">Delayed transactions will return once budgets normalize.</w:t>
      </w:r>
    </w:p>
    <w:p>
      <w:pPr>
        <w:pStyle w:val="Compact"/>
        <w:numPr>
          <w:ilvl w:val="0"/>
          <w:numId w:val="1008"/>
        </w:numPr>
      </w:pPr>
      <w:r>
        <w:t xml:space="preserve">Red Hat, Confluent, automation and Consulting remain long-term AI beneficiaries.</w:t>
      </w:r>
    </w:p>
    <w:p>
      <w:pPr>
        <w:pStyle w:val="FirstParagraph"/>
      </w:pPr>
      <w:r>
        <w:rPr>
          <w:b/>
          <w:bCs/>
        </w:rPr>
        <w:t xml:space="preserve">The market’s concern</w:t>
      </w:r>
    </w:p>
    <w:p>
      <w:pPr>
        <w:pStyle w:val="Compact"/>
        <w:numPr>
          <w:ilvl w:val="0"/>
          <w:numId w:val="1009"/>
        </w:numPr>
      </w:pPr>
      <w:r>
        <w:t xml:space="preserve">AI compute, memory and cybersecurity are becoming structurally larger portions of enterprise technology budgets.</w:t>
      </w:r>
    </w:p>
    <w:p>
      <w:pPr>
        <w:pStyle w:val="Compact"/>
        <w:numPr>
          <w:ilvl w:val="0"/>
          <w:numId w:val="1009"/>
        </w:numPr>
      </w:pPr>
      <w:r>
        <w:t xml:space="preserve">Traditional software categories face slower growth or tougher pricing.</w:t>
      </w:r>
    </w:p>
    <w:p>
      <w:pPr>
        <w:pStyle w:val="Compact"/>
        <w:numPr>
          <w:ilvl w:val="0"/>
          <w:numId w:val="1009"/>
        </w:numPr>
      </w:pPr>
      <w:r>
        <w:t xml:space="preserve">Mainframe-related software monetization may be less predictable than IBM had suggested.</w:t>
      </w:r>
    </w:p>
    <w:p>
      <w:pPr>
        <w:pStyle w:val="Compact"/>
        <w:numPr>
          <w:ilvl w:val="0"/>
          <w:numId w:val="1009"/>
        </w:numPr>
      </w:pPr>
      <w:r>
        <w:t xml:space="preserve">IBM’s portfolio is not as insulated from changing CIO priorities as investors previously believed.</w:t>
      </w:r>
    </w:p>
    <w:p>
      <w:pPr>
        <w:pStyle w:val="FirstParagraph"/>
      </w:pPr>
      <w:r>
        <w:t xml:space="preserve">Specific evidence—closed transactions, pipeline conversion, renewals and second-half customer commitments—will matter more than broad commentary about the long-term AI opportunity.</w:t>
      </w:r>
    </w:p>
    <w:p>
      <w:r>
        <w:pict>
          <v:rect style="width:0;height:1.5pt" o:hralign="center" o:hrstd="t" o:hr="t"/>
        </w:pict>
      </w:r>
    </w:p>
    <w:bookmarkEnd w:id="15"/>
    <w:bookmarkEnd w:id="16"/>
    <w:bookmarkStart w:id="17" w:name="confluent-and-the-balance-sheet"/>
    <w:p>
      <w:pPr>
        <w:pStyle w:val="Heading2"/>
      </w:pPr>
      <w:r>
        <w:t xml:space="preserve">Confluent and the balance sheet</w:t>
      </w:r>
    </w:p>
    <w:p>
      <w:pPr>
        <w:pStyle w:val="FirstParagraph"/>
      </w:pPr>
      <w:r>
        <w:t xml:space="preserve">IBM completed the approximately</w:t>
      </w:r>
      <w:r>
        <w:t xml:space="preserve"> </w:t>
      </w:r>
      <w:r>
        <w:rPr>
          <w:b/>
          <w:bCs/>
        </w:rPr>
        <w:t xml:space="preserve">$11.6 billion acquisition of Confluent</w:t>
      </w:r>
      <w:r>
        <w:t xml:space="preserve"> </w:t>
      </w:r>
      <w:r>
        <w:t xml:space="preserve">in March. At the end of Q1, IBM reported:</w:t>
      </w:r>
    </w:p>
    <w:p>
      <w:pPr>
        <w:pStyle w:val="Compact"/>
        <w:numPr>
          <w:ilvl w:val="0"/>
          <w:numId w:val="1010"/>
        </w:numPr>
      </w:pPr>
      <w:r>
        <w:t xml:space="preserve">Approximately</w:t>
      </w:r>
      <w:r>
        <w:t xml:space="preserve"> </w:t>
      </w:r>
      <w:r>
        <w:rPr>
          <w:b/>
          <w:bCs/>
        </w:rPr>
        <w:t xml:space="preserve">$11.8 billion</w:t>
      </w:r>
      <w:r>
        <w:t xml:space="preserve"> </w:t>
      </w:r>
      <w:r>
        <w:t xml:space="preserve">of cash and marketable securities.</w:t>
      </w:r>
    </w:p>
    <w:p>
      <w:pPr>
        <w:pStyle w:val="Compact"/>
        <w:numPr>
          <w:ilvl w:val="0"/>
          <w:numId w:val="1010"/>
        </w:numPr>
      </w:pPr>
      <w:r>
        <w:rPr>
          <w:b/>
          <w:bCs/>
        </w:rPr>
        <w:t xml:space="preserve">$66.4 billion</w:t>
      </w:r>
      <w:r>
        <w:t xml:space="preserve"> </w:t>
      </w:r>
      <w:r>
        <w:t xml:space="preserve">of total debt.</w:t>
      </w:r>
    </w:p>
    <w:p>
      <w:pPr>
        <w:pStyle w:val="Compact"/>
        <w:numPr>
          <w:ilvl w:val="0"/>
          <w:numId w:val="1010"/>
        </w:numPr>
      </w:pPr>
      <w:r>
        <w:t xml:space="preserve">Approximately</w:t>
      </w:r>
      <w:r>
        <w:t xml:space="preserve"> </w:t>
      </w:r>
      <w:r>
        <w:rPr>
          <w:b/>
          <w:bCs/>
        </w:rPr>
        <w:t xml:space="preserve">$53.5 billion</w:t>
      </w:r>
      <w:r>
        <w:t xml:space="preserve"> </w:t>
      </w:r>
      <w:r>
        <w:t xml:space="preserve">of non-financing debt.</w:t>
      </w:r>
    </w:p>
    <w:p>
      <w:pPr>
        <w:pStyle w:val="FirstParagraph"/>
      </w:pPr>
      <w:r>
        <w:t xml:space="preserve">Confluent appears to be performing well operationally, but its acquisition increased interest expense, stock-based compensation and integration risk. IBM previously expected around</w:t>
      </w:r>
      <w:r>
        <w:t xml:space="preserve"> </w:t>
      </w:r>
      <w:r>
        <w:rPr>
          <w:b/>
          <w:bCs/>
        </w:rPr>
        <w:t xml:space="preserve">$600 million of 2026 dilution</w:t>
      </w:r>
      <w:r>
        <w:t xml:space="preserve">, while targeting approximately $500 million of operational run-rate synergies by the end of 2027.</w:t>
      </w:r>
    </w:p>
    <w:p>
      <w:pPr>
        <w:pStyle w:val="BodyText"/>
      </w:pPr>
      <w:r>
        <w:t xml:space="preserve">Questions for management include:</w:t>
      </w:r>
    </w:p>
    <w:p>
      <w:pPr>
        <w:pStyle w:val="Compact"/>
        <w:numPr>
          <w:ilvl w:val="0"/>
          <w:numId w:val="1011"/>
        </w:numPr>
      </w:pPr>
      <w:r>
        <w:t xml:space="preserve">Is Confluent growing at or above the rate assumed in the acquisition model?</w:t>
      </w:r>
    </w:p>
    <w:p>
      <w:pPr>
        <w:pStyle w:val="Compact"/>
        <w:numPr>
          <w:ilvl w:val="0"/>
          <w:numId w:val="1011"/>
        </w:numPr>
      </w:pPr>
      <w:r>
        <w:t xml:space="preserve">Are revenue synergies emerging, or is performance primarily stand-alone?</w:t>
      </w:r>
    </w:p>
    <w:p>
      <w:pPr>
        <w:pStyle w:val="Compact"/>
        <w:numPr>
          <w:ilvl w:val="0"/>
          <w:numId w:val="1011"/>
        </w:numPr>
      </w:pPr>
      <w:r>
        <w:t xml:space="preserve">Have cost-synergy targets changed?</w:t>
      </w:r>
    </w:p>
    <w:p>
      <w:pPr>
        <w:pStyle w:val="Compact"/>
        <w:numPr>
          <w:ilvl w:val="0"/>
          <w:numId w:val="1011"/>
        </w:numPr>
      </w:pPr>
      <w:r>
        <w:t xml:space="preserve">Does the Q2 miss slow debt reduction?</w:t>
      </w:r>
    </w:p>
    <w:p>
      <w:pPr>
        <w:pStyle w:val="Compact"/>
        <w:numPr>
          <w:ilvl w:val="0"/>
          <w:numId w:val="1011"/>
        </w:numPr>
      </w:pPr>
      <w:r>
        <w:t xml:space="preserve">Has IBM’s appetite for additional acquisitions been curtailed?</w:t>
      </w:r>
    </w:p>
    <w:p>
      <w:pPr>
        <w:pStyle w:val="FirstParagraph"/>
      </w:pPr>
      <w:r>
        <w:t xml:space="preserve">Following the warning, balance-sheet discipline and integration execution should take priority over another large transaction.</w:t>
      </w:r>
    </w:p>
    <w:p>
      <w:r>
        <w:pict>
          <v:rect style="width:0;height:1.5pt" o:hralign="center" o:hrstd="t" o:hr="t"/>
        </w:pict>
      </w:r>
    </w:p>
    <w:bookmarkEnd w:id="17"/>
    <w:bookmarkStart w:id="18" w:name="valuation-after-the-selloff"/>
    <w:p>
      <w:pPr>
        <w:pStyle w:val="Heading2"/>
      </w:pPr>
      <w:r>
        <w:t xml:space="preserve">Valuation after the selloff</w:t>
      </w:r>
    </w:p>
    <w:p>
      <w:pPr>
        <w:pStyle w:val="FirstParagraph"/>
      </w:pPr>
      <w:r>
        <w:t xml:space="preserve">IBM closed at</w:t>
      </w:r>
      <w:r>
        <w:t xml:space="preserve"> </w:t>
      </w:r>
      <w:r>
        <w:rPr>
          <w:b/>
          <w:bCs/>
        </w:rPr>
        <w:t xml:space="preserve">$210.54 on July 21</w:t>
      </w:r>
      <w:r>
        <w:t xml:space="preserve">, down roughly 27.5% from its July 13 close of</w:t>
      </w:r>
      <w:r>
        <w:t xml:space="preserve"> </w:t>
      </w:r>
      <m:oMath>
        <m:r>
          <m:t>290.23</m:t>
        </m:r>
        <m:r>
          <m:rPr>
            <m:sty m:val="p"/>
          </m:rPr>
          <m:t>.</m:t>
        </m:r>
        <m:r>
          <m:t>U</m:t>
        </m:r>
        <m:r>
          <m:t>s</m:t>
        </m:r>
        <m:r>
          <m:t>i</m:t>
        </m:r>
        <m:r>
          <m:t>n</m:t>
        </m:r>
        <m:r>
          <m:t>g</m:t>
        </m:r>
        <m:r>
          <m:t>t</m:t>
        </m:r>
        <m:r>
          <m:t>h</m:t>
        </m:r>
        <m:r>
          <m:t>e</m:t>
        </m:r>
        <m:r>
          <m:t>Q</m:t>
        </m:r>
        <m:r>
          <m:t>1</m:t>
        </m:r>
        <m:r>
          <m:t>d</m:t>
        </m:r>
        <m:r>
          <m:t>i</m:t>
        </m:r>
        <m:r>
          <m:t>l</m:t>
        </m:r>
        <m:r>
          <m:t>u</m:t>
        </m:r>
        <m:r>
          <m:t>t</m:t>
        </m:r>
        <m:r>
          <m:t>e</m:t>
        </m:r>
        <m:r>
          <m:t>d</m:t>
        </m:r>
        <m:r>
          <m:t>s</m:t>
        </m:r>
        <m:r>
          <m:t>h</m:t>
        </m:r>
        <m:r>
          <m:t>a</m:t>
        </m:r>
        <m:r>
          <m:t>r</m:t>
        </m:r>
        <m:r>
          <m:t>e</m:t>
        </m:r>
        <m:r>
          <m:t>c</m:t>
        </m:r>
        <m:r>
          <m:t>o</m:t>
        </m:r>
        <m:r>
          <m:t>u</m:t>
        </m:r>
        <m:r>
          <m:t>n</m:t>
        </m:r>
        <m:r>
          <m:t>t</m:t>
        </m:r>
        <m:r>
          <m:rPr>
            <m:sty m:val="p"/>
          </m:rPr>
          <m:t>,</m:t>
        </m:r>
        <m:r>
          <m:t>t</m:t>
        </m:r>
        <m:r>
          <m:t>h</m:t>
        </m:r>
        <m:r>
          <m:t>e</m:t>
        </m:r>
        <m:r>
          <m:t>c</m:t>
        </m:r>
        <m:r>
          <m:t>u</m:t>
        </m:r>
        <m:r>
          <m:t>r</m:t>
        </m:r>
        <m:r>
          <m:t>r</m:t>
        </m:r>
        <m:r>
          <m:t>e</m:t>
        </m:r>
        <m:r>
          <m:t>n</m:t>
        </m:r>
        <m:r>
          <m:t>t</m:t>
        </m:r>
        <m:r>
          <m:t>e</m:t>
        </m:r>
        <m:r>
          <m:t>q</m:t>
        </m:r>
        <m:r>
          <m:t>u</m:t>
        </m:r>
        <m:r>
          <m:t>i</m:t>
        </m:r>
        <m:r>
          <m:t>t</m:t>
        </m:r>
        <m:r>
          <m:t>y</m:t>
        </m:r>
        <m:r>
          <m:t>v</m:t>
        </m:r>
        <m:r>
          <m:t>a</m:t>
        </m:r>
        <m:r>
          <m:t>l</m:t>
        </m:r>
        <m:r>
          <m:t>u</m:t>
        </m:r>
        <m:r>
          <m:t>e</m:t>
        </m:r>
        <m:r>
          <m:t>i</m:t>
        </m:r>
        <m:r>
          <m:t>s</m:t>
        </m:r>
        <m:r>
          <m:t>a</m:t>
        </m:r>
        <m:r>
          <m:t>p</m:t>
        </m:r>
        <m:r>
          <m:t>p</m:t>
        </m:r>
        <m:r>
          <m:t>r</m:t>
        </m:r>
        <m:r>
          <m:t>o</m:t>
        </m:r>
        <m:r>
          <m:t>x</m:t>
        </m:r>
        <m:r>
          <m:t>i</m:t>
        </m:r>
        <m:r>
          <m:t>m</m:t>
        </m:r>
        <m:r>
          <m:t>a</m:t>
        </m:r>
        <m:r>
          <m:t>t</m:t>
        </m:r>
        <m:r>
          <m:t>e</m:t>
        </m:r>
        <m:r>
          <m:t>l</m:t>
        </m:r>
        <m:r>
          <m:t>y</m:t>
        </m:r>
        <m:r>
          <m:rPr>
            <m:sty m:val="p"/>
          </m:rPr>
          <m:t>*</m:t>
        </m:r>
        <m:r>
          <m:rPr>
            <m:sty m:val="p"/>
          </m:rPr>
          <m:t>*</m:t>
        </m:r>
      </m:oMath>
      <w:r>
        <w:t xml:space="preserve">200 billion**.</w:t>
      </w:r>
    </w:p>
    <w:p>
      <w:pPr>
        <w:pStyle w:val="BodyText"/>
      </w:pPr>
      <w:r>
        <w:t xml:space="preserve">If IBM maintains its previous $15.7 billion free-cash-flow forecast, the shares trade at roughly:</w:t>
      </w:r>
    </w:p>
    <w:p>
      <w:pPr>
        <w:pStyle w:val="Compact"/>
        <w:numPr>
          <w:ilvl w:val="0"/>
          <w:numId w:val="1012"/>
        </w:numPr>
      </w:pPr>
      <w:r>
        <w:rPr>
          <w:b/>
          <w:bCs/>
        </w:rPr>
        <w:t xml:space="preserve">12.8 times free cash flow</w:t>
      </w:r>
    </w:p>
    <w:p>
      <w:pPr>
        <w:pStyle w:val="Compact"/>
        <w:numPr>
          <w:ilvl w:val="0"/>
          <w:numId w:val="1012"/>
        </w:numPr>
      </w:pPr>
      <w:r>
        <w:t xml:space="preserve">A</w:t>
      </w:r>
      <w:r>
        <w:t xml:space="preserve"> </w:t>
      </w:r>
      <w:r>
        <w:rPr>
          <w:b/>
          <w:bCs/>
        </w:rPr>
        <w:t xml:space="preserve">7.8% free-cash-flow yield</w:t>
      </w:r>
    </w:p>
    <w:p>
      <w:pPr>
        <w:pStyle w:val="Compact"/>
        <w:numPr>
          <w:ilvl w:val="0"/>
          <w:numId w:val="1012"/>
        </w:numPr>
      </w:pPr>
      <w:r>
        <w:t xml:space="preserve">A dividend yield of approximately</w:t>
      </w:r>
      <w:r>
        <w:t xml:space="preserve"> </w:t>
      </w:r>
      <w:r>
        <w:rPr>
          <w:b/>
          <w:bCs/>
        </w:rPr>
        <w:t xml:space="preserve">3.2%</w:t>
      </w:r>
      <w:r>
        <w:t xml:space="preserve">, based on the current $1.69 quarterly dividend</w:t>
      </w:r>
    </w:p>
    <w:p>
      <w:pPr>
        <w:pStyle w:val="FirstParagraph"/>
      </w:pPr>
      <w:r>
        <w:t xml:space="preserve">Those figures look inexpensive relative to IBM’s recent valuation—but only if free cash flow is durable. The stock is not necessarily cheap if Q2 represents the beginning of a multiquarter software slowdown. Consequently, the most important valuation input tonight is not final Q2 EPS; it is the revised cash-flow outlook.</w:t>
      </w:r>
    </w:p>
    <w:p>
      <w:r>
        <w:pict>
          <v:rect style="width:0;height:1.5pt" o:hralign="center" o:hrstd="t" o:hr="t"/>
        </w:pict>
      </w:r>
    </w:p>
    <w:bookmarkEnd w:id="18"/>
    <w:bookmarkStart w:id="22" w:name="potential-outcomes"/>
    <w:p>
      <w:pPr>
        <w:pStyle w:val="Heading2"/>
      </w:pPr>
      <w:r>
        <w:t xml:space="preserve">Potential outcomes</w:t>
      </w:r>
    </w:p>
    <w:bookmarkStart w:id="19" w:name="bullish-outcome"/>
    <w:p>
      <w:pPr>
        <w:pStyle w:val="Heading3"/>
      </w:pPr>
      <w:r>
        <w:t xml:space="preserve">Bullish outcome</w:t>
      </w:r>
    </w:p>
    <w:p>
      <w:pPr>
        <w:pStyle w:val="Compact"/>
        <w:numPr>
          <w:ilvl w:val="0"/>
          <w:numId w:val="1013"/>
        </w:numPr>
      </w:pPr>
      <w:r>
        <w:t xml:space="preserve">Full-year revenue guidance is reduced only modestly.</w:t>
      </w:r>
    </w:p>
    <w:p>
      <w:pPr>
        <w:pStyle w:val="Compact"/>
        <w:numPr>
          <w:ilvl w:val="0"/>
          <w:numId w:val="1013"/>
        </w:numPr>
      </w:pPr>
      <w:r>
        <w:t xml:space="preserve">Software is still expected to grow high single digits or better.</w:t>
      </w:r>
    </w:p>
    <w:p>
      <w:pPr>
        <w:pStyle w:val="Compact"/>
        <w:numPr>
          <w:ilvl w:val="0"/>
          <w:numId w:val="1013"/>
        </w:numPr>
      </w:pPr>
      <w:r>
        <w:t xml:space="preserve">Red Hat remains at approximately double-digit growth.</w:t>
      </w:r>
    </w:p>
    <w:p>
      <w:pPr>
        <w:pStyle w:val="Compact"/>
        <w:numPr>
          <w:ilvl w:val="0"/>
          <w:numId w:val="1013"/>
        </w:numPr>
      </w:pPr>
      <w:r>
        <w:t xml:space="preserve">Management quantifies delayed transactions and shows that some have already closed.</w:t>
      </w:r>
    </w:p>
    <w:p>
      <w:pPr>
        <w:pStyle w:val="Compact"/>
        <w:numPr>
          <w:ilvl w:val="0"/>
          <w:numId w:val="1013"/>
        </w:numPr>
      </w:pPr>
      <w:r>
        <w:t xml:space="preserve">Operating-margin expansion remains near the prior target.</w:t>
      </w:r>
    </w:p>
    <w:p>
      <w:pPr>
        <w:pStyle w:val="Compact"/>
        <w:numPr>
          <w:ilvl w:val="0"/>
          <w:numId w:val="1013"/>
        </w:numPr>
      </w:pPr>
      <w:r>
        <w:t xml:space="preserve">Free-cash-flow guidance stays close to $15.7 billion.</w:t>
      </w:r>
    </w:p>
    <w:p>
      <w:pPr>
        <w:pStyle w:val="Compact"/>
        <w:numPr>
          <w:ilvl w:val="0"/>
          <w:numId w:val="1013"/>
        </w:numPr>
      </w:pPr>
      <w:r>
        <w:t xml:space="preserve">Confluent integration remains on plan.</w:t>
      </w:r>
    </w:p>
    <w:p>
      <w:pPr>
        <w:pStyle w:val="FirstParagraph"/>
      </w:pPr>
      <w:r>
        <w:t xml:space="preserve">This would support the argument that the 25% one-day selloff priced in too prolonged a downturn.</w:t>
      </w:r>
    </w:p>
    <w:bookmarkEnd w:id="19"/>
    <w:bookmarkStart w:id="20" w:name="neutral-outcome"/>
    <w:p>
      <w:pPr>
        <w:pStyle w:val="Heading3"/>
      </w:pPr>
      <w:r>
        <w:t xml:space="preserve">Neutral outcome</w:t>
      </w:r>
    </w:p>
    <w:p>
      <w:pPr>
        <w:pStyle w:val="Compact"/>
        <w:numPr>
          <w:ilvl w:val="0"/>
          <w:numId w:val="1014"/>
        </w:numPr>
      </w:pPr>
      <w:r>
        <w:t xml:space="preserve">Revenue and Software guidance are cut.</w:t>
      </w:r>
    </w:p>
    <w:p>
      <w:pPr>
        <w:pStyle w:val="Compact"/>
        <w:numPr>
          <w:ilvl w:val="0"/>
          <w:numId w:val="1014"/>
        </w:numPr>
      </w:pPr>
      <w:r>
        <w:t xml:space="preserve">Infrastructure is expected to decline more than previously forecast.</w:t>
      </w:r>
    </w:p>
    <w:p>
      <w:pPr>
        <w:pStyle w:val="Compact"/>
        <w:numPr>
          <w:ilvl w:val="0"/>
          <w:numId w:val="1014"/>
        </w:numPr>
      </w:pPr>
      <w:r>
        <w:t xml:space="preserve">Margin expansion is retained through additional productivity measures.</w:t>
      </w:r>
    </w:p>
    <w:p>
      <w:pPr>
        <w:pStyle w:val="Compact"/>
        <w:numPr>
          <w:ilvl w:val="0"/>
          <w:numId w:val="1014"/>
        </w:numPr>
      </w:pPr>
      <w:r>
        <w:t xml:space="preserve">Free-cash-flow guidance is reduced modestly but remains around $15 billion.</w:t>
      </w:r>
    </w:p>
    <w:p>
      <w:pPr>
        <w:pStyle w:val="Compact"/>
        <w:numPr>
          <w:ilvl w:val="0"/>
          <w:numId w:val="1014"/>
        </w:numPr>
      </w:pPr>
      <w:r>
        <w:t xml:space="preserve">Management expects only partial recovery of delayed transactions in the second half.</w:t>
      </w:r>
    </w:p>
    <w:p>
      <w:pPr>
        <w:pStyle w:val="FirstParagraph"/>
      </w:pPr>
      <w:r>
        <w:t xml:space="preserve">This could stabilize the stock, but a sustained recovery would require evidence of better execution in Q3.</w:t>
      </w:r>
    </w:p>
    <w:bookmarkEnd w:id="20"/>
    <w:bookmarkStart w:id="21" w:name="bearish-outcome"/>
    <w:p>
      <w:pPr>
        <w:pStyle w:val="Heading3"/>
      </w:pPr>
      <w:r>
        <w:t xml:space="preserve">Bearish outcome</w:t>
      </w:r>
    </w:p>
    <w:p>
      <w:pPr>
        <w:pStyle w:val="Compact"/>
        <w:numPr>
          <w:ilvl w:val="0"/>
          <w:numId w:val="1015"/>
        </w:numPr>
      </w:pPr>
      <w:r>
        <w:t xml:space="preserve">Software guidance falls materially, including weaker organic growth outside Red Hat.</w:t>
      </w:r>
    </w:p>
    <w:p>
      <w:pPr>
        <w:pStyle w:val="Compact"/>
        <w:numPr>
          <w:ilvl w:val="0"/>
          <w:numId w:val="1015"/>
        </w:numPr>
      </w:pPr>
      <w:r>
        <w:t xml:space="preserve">Management cannot quantify how much delayed business remains recoverable.</w:t>
      </w:r>
    </w:p>
    <w:p>
      <w:pPr>
        <w:pStyle w:val="Compact"/>
        <w:numPr>
          <w:ilvl w:val="0"/>
          <w:numId w:val="1015"/>
        </w:numPr>
      </w:pPr>
      <w:r>
        <w:t xml:space="preserve">The budget shift toward AI infrastructure is expected to persist.</w:t>
      </w:r>
    </w:p>
    <w:p>
      <w:pPr>
        <w:pStyle w:val="Compact"/>
        <w:numPr>
          <w:ilvl w:val="0"/>
          <w:numId w:val="1015"/>
        </w:numPr>
      </w:pPr>
      <w:r>
        <w:t xml:space="preserve">Free-cash-flow and margin guidance are both reduced.</w:t>
      </w:r>
    </w:p>
    <w:p>
      <w:pPr>
        <w:pStyle w:val="Compact"/>
        <w:numPr>
          <w:ilvl w:val="0"/>
          <w:numId w:val="1015"/>
        </w:numPr>
      </w:pPr>
      <w:r>
        <w:t xml:space="preserve">Confluent dilution or integration costs rise.</w:t>
      </w:r>
    </w:p>
    <w:p>
      <w:pPr>
        <w:pStyle w:val="Compact"/>
        <w:numPr>
          <w:ilvl w:val="0"/>
          <w:numId w:val="1015"/>
        </w:numPr>
      </w:pPr>
      <w:r>
        <w:t xml:space="preserve">Management relies primarily on long-term AI and quantum narratives rather than near-term operating evidence.</w:t>
      </w:r>
    </w:p>
    <w:p>
      <w:pPr>
        <w:pStyle w:val="FirstParagraph"/>
      </w:pPr>
      <w:r>
        <w:t xml:space="preserve">That combination would validate concerns that IBM’s problem extends beyond one quarter.</w:t>
      </w:r>
    </w:p>
    <w:p>
      <w:r>
        <w:pict>
          <v:rect style="width:0;height:1.5pt" o:hralign="center" o:hrstd="t" o:hr="t"/>
        </w:pict>
      </w:r>
    </w:p>
    <w:bookmarkEnd w:id="21"/>
    <w:bookmarkEnd w:id="22"/>
    <w:bookmarkStart w:id="23" w:name="questions-investors-should-want-answered"/>
    <w:p>
      <w:pPr>
        <w:pStyle w:val="Heading2"/>
      </w:pPr>
      <w:r>
        <w:t xml:space="preserve">Questions investors should want answered</w:t>
      </w:r>
    </w:p>
    <w:p>
      <w:pPr>
        <w:pStyle w:val="Compact"/>
        <w:numPr>
          <w:ilvl w:val="0"/>
          <w:numId w:val="1016"/>
        </w:numPr>
      </w:pPr>
      <w:r>
        <w:rPr>
          <w:b/>
          <w:bCs/>
        </w:rPr>
        <w:t xml:space="preserve">How much revenue was associated with transactions that slipped out of Q2, and how much has closed since June 30?</w:t>
      </w:r>
    </w:p>
    <w:p>
      <w:pPr>
        <w:pStyle w:val="Compact"/>
        <w:numPr>
          <w:ilvl w:val="0"/>
          <w:numId w:val="1016"/>
        </w:numPr>
      </w:pPr>
      <w:r>
        <w:rPr>
          <w:b/>
          <w:bCs/>
        </w:rPr>
        <w:t xml:space="preserve">What portion of Software’s 5% growth was organic versus acquisition-related?</w:t>
      </w:r>
    </w:p>
    <w:p>
      <w:pPr>
        <w:pStyle w:val="Compact"/>
        <w:numPr>
          <w:ilvl w:val="0"/>
          <w:numId w:val="1016"/>
        </w:numPr>
      </w:pPr>
      <w:r>
        <w:rPr>
          <w:b/>
          <w:bCs/>
        </w:rPr>
        <w:t xml:space="preserve">What is the revised 2026 Software growth expectation?</w:t>
      </w:r>
    </w:p>
    <w:p>
      <w:pPr>
        <w:pStyle w:val="Compact"/>
        <w:numPr>
          <w:ilvl w:val="0"/>
          <w:numId w:val="1016"/>
        </w:numPr>
      </w:pPr>
      <w:r>
        <w:rPr>
          <w:b/>
          <w:bCs/>
        </w:rPr>
        <w:t xml:space="preserve">Why did Transaction Processing underperform despite z17 remaining well ahead of the prior program?</w:t>
      </w:r>
    </w:p>
    <w:p>
      <w:pPr>
        <w:pStyle w:val="Compact"/>
        <w:numPr>
          <w:ilvl w:val="0"/>
          <w:numId w:val="1016"/>
        </w:numPr>
      </w:pPr>
      <w:r>
        <w:rPr>
          <w:b/>
          <w:bCs/>
        </w:rPr>
        <w:t xml:space="preserve">Are customers reallocating annual budgets, or simply changing the timing of quarterly purchases?</w:t>
      </w:r>
    </w:p>
    <w:p>
      <w:pPr>
        <w:pStyle w:val="Compact"/>
        <w:numPr>
          <w:ilvl w:val="0"/>
          <w:numId w:val="1016"/>
        </w:numPr>
      </w:pPr>
      <w:r>
        <w:rPr>
          <w:b/>
          <w:bCs/>
        </w:rPr>
        <w:t xml:space="preserve">How long does IBM expect memory and server supply constraints to affect customer spending?</w:t>
      </w:r>
    </w:p>
    <w:p>
      <w:pPr>
        <w:pStyle w:val="Compact"/>
        <w:numPr>
          <w:ilvl w:val="0"/>
          <w:numId w:val="1016"/>
        </w:numPr>
      </w:pPr>
      <w:r>
        <w:rPr>
          <w:b/>
          <w:bCs/>
        </w:rPr>
        <w:t xml:space="preserve">Can IBM still generate approximately $15.7 billion of free cash flow?</w:t>
      </w:r>
    </w:p>
    <w:p>
      <w:pPr>
        <w:pStyle w:val="Compact"/>
        <w:numPr>
          <w:ilvl w:val="0"/>
          <w:numId w:val="1016"/>
        </w:numPr>
      </w:pPr>
      <w:r>
        <w:rPr>
          <w:b/>
          <w:bCs/>
        </w:rPr>
        <w:t xml:space="preserve">What second-half revenue and cash-flow assumptions are embedded in the updated outlook?</w:t>
      </w:r>
    </w:p>
    <w:p>
      <w:pPr>
        <w:pStyle w:val="Compact"/>
        <w:numPr>
          <w:ilvl w:val="0"/>
          <w:numId w:val="1016"/>
        </w:numPr>
      </w:pPr>
      <w:r>
        <w:rPr>
          <w:b/>
          <w:bCs/>
        </w:rPr>
        <w:t xml:space="preserve">Has the Consulting backlog or its conversion rate deteriorated since Q1?</w:t>
      </w:r>
    </w:p>
    <w:p>
      <w:pPr>
        <w:pStyle w:val="Compact"/>
        <w:numPr>
          <w:ilvl w:val="0"/>
          <w:numId w:val="1016"/>
        </w:numPr>
      </w:pPr>
      <w:r>
        <w:rPr>
          <w:b/>
          <w:bCs/>
        </w:rPr>
        <w:t xml:space="preserve">Will IBM accelerate cost reductions, and could those actions impair sales execution or product development?</w:t>
      </w:r>
    </w:p>
    <w:p>
      <w:pPr>
        <w:pStyle w:val="Compact"/>
        <w:numPr>
          <w:ilvl w:val="0"/>
          <w:numId w:val="1016"/>
        </w:numPr>
      </w:pPr>
      <w:r>
        <w:rPr>
          <w:b/>
          <w:bCs/>
        </w:rPr>
        <w:t xml:space="preserve">How is Confluent performing relative to the acquisition plan?</w:t>
      </w:r>
    </w:p>
    <w:p>
      <w:pPr>
        <w:pStyle w:val="Compact"/>
        <w:numPr>
          <w:ilvl w:val="0"/>
          <w:numId w:val="1016"/>
        </w:numPr>
      </w:pPr>
      <w:r>
        <w:rPr>
          <w:b/>
          <w:bCs/>
        </w:rPr>
        <w:t xml:space="preserve">What internal changes are being made after management acknowledged that IBM “faltered” in execution?</w:t>
      </w:r>
    </w:p>
    <w:p>
      <w:r>
        <w:pict>
          <v:rect style="width:0;height:1.5pt" o:hralign="center" o:hrstd="t" o:hr="t"/>
        </w:pict>
      </w:r>
    </w:p>
    <w:bookmarkEnd w:id="23"/>
    <w:bookmarkStart w:id="24" w:name="bottom-line"/>
    <w:p>
      <w:pPr>
        <w:pStyle w:val="Heading2"/>
      </w:pPr>
      <w:r>
        <w:t xml:space="preserve">Bottom line</w:t>
      </w:r>
    </w:p>
    <w:p>
      <w:pPr>
        <w:pStyle w:val="FirstParagraph"/>
      </w:pPr>
      <w:r>
        <w:t xml:space="preserve">The headline Q2 miss is already known and largely reflected in the stock. Tonight’s call is a test of</w:t>
      </w:r>
      <w:r>
        <w:t xml:space="preserve"> </w:t>
      </w:r>
      <w:r>
        <w:rPr>
          <w:b/>
          <w:bCs/>
        </w:rPr>
        <w:t xml:space="preserve">credibility and visibility</w:t>
      </w:r>
      <w:r>
        <w:t xml:space="preserve">.</w:t>
      </w:r>
    </w:p>
    <w:p>
      <w:pPr>
        <w:pStyle w:val="BodyText"/>
      </w:pPr>
      <w:r>
        <w:t xml:space="preserve">IBM needs to demonstrate that:</w:t>
      </w:r>
    </w:p>
    <w:p>
      <w:pPr>
        <w:pStyle w:val="Compact"/>
        <w:numPr>
          <w:ilvl w:val="0"/>
          <w:numId w:val="1017"/>
        </w:numPr>
      </w:pPr>
      <w:r>
        <w:t xml:space="preserve">The delayed business is identifiable and recoverable.</w:t>
      </w:r>
    </w:p>
    <w:p>
      <w:pPr>
        <w:pStyle w:val="Compact"/>
        <w:numPr>
          <w:ilvl w:val="0"/>
          <w:numId w:val="1017"/>
        </w:numPr>
      </w:pPr>
      <w:r>
        <w:t xml:space="preserve">Red Hat and the broader recurring software base remain healthy.</w:t>
      </w:r>
    </w:p>
    <w:p>
      <w:pPr>
        <w:pStyle w:val="Compact"/>
        <w:numPr>
          <w:ilvl w:val="0"/>
          <w:numId w:val="1017"/>
        </w:numPr>
      </w:pPr>
      <w:r>
        <w:t xml:space="preserve">The mainframe shortfall reflects timing rather than deteriorating demand.</w:t>
      </w:r>
    </w:p>
    <w:p>
      <w:pPr>
        <w:pStyle w:val="Compact"/>
        <w:numPr>
          <w:ilvl w:val="0"/>
          <w:numId w:val="1017"/>
        </w:numPr>
      </w:pPr>
      <w:r>
        <w:t xml:space="preserve">Productivity can protect margins without damaging future growth.</w:t>
      </w:r>
    </w:p>
    <w:p>
      <w:pPr>
        <w:pStyle w:val="Compact"/>
        <w:numPr>
          <w:ilvl w:val="0"/>
          <w:numId w:val="1017"/>
        </w:numPr>
      </w:pPr>
      <w:r>
        <w:t xml:space="preserve">Free cash flow remains strong enough to support the dividend, debt reduction and continued investment.</w:t>
      </w:r>
    </w:p>
    <w:p>
      <w:pPr>
        <w:pStyle w:val="FirstParagraph"/>
      </w:pPr>
      <w:r>
        <w:t xml:space="preserve">At roughly 13 times the previous free-cash-flow forecast, IBM could offer meaningful upside if the cash-flow outlook remains intact and Q2 proves anomalous. But without quantified evidence of a second-half recovery, the lower valuation should be viewed as compensation for materially higher execution and demand risk—not automatically as a buying opportunity.</w:t>
      </w:r>
    </w:p>
    <w:p>
      <w:pPr>
        <w:pStyle w:val="BodyText"/>
      </w:pPr>
      <w:r>
        <w:rPr>
          <w:i/>
          <w:iCs/>
        </w:rPr>
        <w:t xml:space="preserve">Sources: IBM preliminary Q2 results and investor letter dated July 14, 2026; IBM Q1 2026 Form 10-Q and earnings call; IBM 2025 Q4 earnings call; recent market-news and stock-price data through July 21, 2026.</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2026-07-22T01:09:50Z</dcterms:created>
  <dcterms:modified xsi:type="dcterms:W3CDTF">2026-07-22T01:09:50Z</dcterms:modified>
</cp:coreProperties>
</file>

<file path=docProps/custom.xml><?xml version="1.0" encoding="utf-8"?>
<Properties xmlns="http://schemas.openxmlformats.org/officeDocument/2006/custom-properties" xmlns:vt="http://schemas.openxmlformats.org/officeDocument/2006/docPropsVTypes"/>
</file>