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ibm-nyse-ibm--2q26-earnings-preview"/>
    <w:p>
      <w:pPr>
        <w:pStyle w:val="Heading1"/>
      </w:pPr>
      <w:r>
        <w:t xml:space="preserve">IBM (NYSE: IBM) — 2Q26 Earnings Preview</w:t>
      </w:r>
    </w:p>
    <w:p>
      <w:pPr>
        <w:pStyle w:val="BlockText"/>
      </w:pPr>
      <w:r>
        <w:rPr>
          <w:b/>
          <w:bCs/>
        </w:rPr>
        <w:t xml:space="preserve">Timing clarification:</w:t>
      </w:r>
      <w:r>
        <w:t xml:space="preserve"> </w:t>
      </w:r>
      <w:r>
        <w:t xml:space="preserve">IBM’s 2Q26 earnings call is</w:t>
      </w:r>
      <w:r>
        <w:t xml:space="preserve"> </w:t>
      </w:r>
      <w:r>
        <w:rPr>
          <w:b/>
          <w:bCs/>
        </w:rPr>
        <w:t xml:space="preserve">today, Wednesday, July 22, 2026, at 5:00 p.m. ET</w:t>
      </w:r>
      <w:r>
        <w:t xml:space="preserve">—not tomorrow. This is an unusual earnings event because IBM</w:t>
      </w:r>
      <w:r>
        <w:t xml:space="preserve"> </w:t>
      </w:r>
      <w:r>
        <w:rPr>
          <w:b/>
          <w:bCs/>
        </w:rPr>
        <w:t xml:space="preserve">pre-announced preliminary results on July 14</w:t>
      </w:r>
      <w:r>
        <w:t xml:space="preserve">, so the headline quarter is largely known. The investment debate has shifted decisively to the</w:t>
      </w:r>
      <w:r>
        <w:t xml:space="preserve"> </w:t>
      </w:r>
      <w:r>
        <w:rPr>
          <w:b/>
          <w:bCs/>
        </w:rPr>
        <w:t xml:space="preserve">full-year outlook, the durability of software growth, and management’s explanation of the late-quarter execution failure.</w:t>
      </w:r>
    </w:p>
    <w:bookmarkStart w:id="9" w:name="bottom-line"/>
    <w:p>
      <w:pPr>
        <w:pStyle w:val="Heading2"/>
      </w:pPr>
      <w:r>
        <w:t xml:space="preserve">Bottom line</w:t>
      </w:r>
    </w:p>
    <w:p>
      <w:pPr>
        <w:pStyle w:val="FirstParagraph"/>
      </w:pPr>
      <w:r>
        <w:t xml:space="preserve">IBM enters the call having already reset expectations. Its July 14 pre-announcement projected</w:t>
      </w:r>
      <w:r>
        <w:t xml:space="preserve"> </w:t>
      </w:r>
      <w:r>
        <w:rPr>
          <w:b/>
          <w:bCs/>
        </w:rPr>
        <w:t xml:space="preserve">2Q revenue of $17.2 billion</w:t>
      </w:r>
      <w:r>
        <w:t xml:space="preserve"> </w:t>
      </w:r>
      <w:r>
        <w:t xml:space="preserve">and</w:t>
      </w:r>
      <w:r>
        <w:t xml:space="preserve"> </w:t>
      </w:r>
      <w:r>
        <w:rPr>
          <w:b/>
          <w:bCs/>
        </w:rPr>
        <w:t xml:space="preserve">operating EPS of</w:t>
      </w:r>
      <w:r>
        <w:rPr>
          <w:b/>
          <w:bCs/>
        </w:rPr>
        <w:t xml:space="preserve"> </w:t>
      </w:r>
      <m:oMath>
        <m:r>
          <m:t>2.93</m:t>
        </m:r>
        <m:r>
          <m:rPr>
            <m:sty m:val="p"/>
          </m:rPr>
          <m:t>*</m:t>
        </m:r>
        <m:r>
          <m:rPr>
            <m:sty m:val="p"/>
          </m:rPr>
          <m:t>*</m:t>
        </m:r>
        <m:r>
          <m:rPr>
            <m:sty m:val="p"/>
          </m:rPr>
          <m:t>,</m:t>
        </m:r>
        <m:r>
          <m:t>b</m:t>
        </m:r>
        <m:r>
          <m:t>e</m:t>
        </m:r>
        <m:r>
          <m:t>l</m:t>
        </m:r>
        <m:r>
          <m:t>o</m:t>
        </m:r>
        <m:r>
          <m:t>w</m:t>
        </m:r>
        <m:r>
          <m:t>t</m:t>
        </m:r>
        <m:r>
          <m:t>h</m:t>
        </m:r>
        <m:r>
          <m:t>e</m:t>
        </m:r>
        <m:r>
          <m:t>n</m:t>
        </m:r>
        <m:r>
          <m:rPr>
            <m:sty m:val="p"/>
          </m:rPr>
          <m:t>−</m:t>
        </m:r>
        <m:r>
          <m:t>c</m:t>
        </m:r>
        <m:r>
          <m:t>o</m:t>
        </m:r>
        <m:r>
          <m:t>n</m:t>
        </m:r>
        <m:r>
          <m:t>s</m:t>
        </m:r>
        <m:r>
          <m:t>e</m:t>
        </m:r>
        <m:r>
          <m:t>n</m:t>
        </m:r>
        <m:r>
          <m:t>s</m:t>
        </m:r>
        <m:r>
          <m:t>u</m:t>
        </m:r>
        <m:r>
          <m:t>s</m:t>
        </m:r>
        <m:r>
          <m:t>e</m:t>
        </m:r>
        <m:r>
          <m:t>x</m:t>
        </m:r>
        <m:r>
          <m:t>p</m:t>
        </m:r>
        <m:r>
          <m:t>e</m:t>
        </m:r>
        <m:r>
          <m:t>c</m:t>
        </m:r>
        <m:r>
          <m:t>t</m:t>
        </m:r>
        <m:r>
          <m:t>a</m:t>
        </m:r>
        <m:r>
          <m:t>t</m:t>
        </m:r>
        <m:r>
          <m:t>i</m:t>
        </m:r>
        <m:r>
          <m:t>o</m:t>
        </m:r>
        <m:r>
          <m:t>n</m:t>
        </m:r>
        <m:r>
          <m:t>s</m:t>
        </m:r>
        <m:r>
          <m:t>o</m:t>
        </m:r>
        <m:r>
          <m:t>f</m:t>
        </m:r>
        <m:r>
          <m:t>a</m:t>
        </m:r>
        <m:r>
          <m:t>p</m:t>
        </m:r>
        <m:r>
          <m:t>p</m:t>
        </m:r>
        <m:r>
          <m:t>r</m:t>
        </m:r>
        <m:r>
          <m:t>o</m:t>
        </m:r>
        <m:r>
          <m:t>x</m:t>
        </m:r>
        <m:r>
          <m:t>i</m:t>
        </m:r>
        <m:r>
          <m:t>m</m:t>
        </m:r>
        <m:r>
          <m:t>a</m:t>
        </m:r>
        <m:r>
          <m:t>t</m:t>
        </m:r>
        <m:r>
          <m:t>e</m:t>
        </m:r>
        <m:r>
          <m:t>l</m:t>
        </m:r>
        <m:r>
          <m:t>y</m:t>
        </m:r>
        <m:r>
          <m:rPr>
            <m:sty m:val="p"/>
          </m:rPr>
          <m:t>*</m:t>
        </m:r>
        <m:r>
          <m:rPr>
            <m:sty m:val="p"/>
          </m:rPr>
          <m:t>*</m:t>
        </m:r>
      </m:oMath>
      <w:r>
        <w:rPr>
          <w:b/>
          <w:bCs/>
        </w:rPr>
        <w:t xml:space="preserve">17.86 billion</w:t>
      </w:r>
      <w:r>
        <w:t xml:space="preserve"> </w:t>
      </w:r>
      <w:r>
        <w:t xml:space="preserve">and</w:t>
      </w:r>
      <w:r>
        <w:t xml:space="preserve"> </w:t>
      </w:r>
      <m:oMath>
        <m:r>
          <m:t>3.01</m:t>
        </m:r>
        <m:r>
          <m:rPr>
            <m:sty m:val="p"/>
          </m:rPr>
          <m:t>*</m:t>
        </m:r>
        <m:r>
          <m:rPr>
            <m:sty m:val="p"/>
          </m:rPr>
          <m:t>*</m:t>
        </m:r>
        <m:r>
          <m:rPr>
            <m:sty m:val="p"/>
          </m:rPr>
          <m:t>,</m:t>
        </m:r>
        <m:r>
          <m:t>r</m:t>
        </m:r>
        <m:r>
          <m:t>e</m:t>
        </m:r>
        <m:r>
          <m:t>s</m:t>
        </m:r>
        <m:r>
          <m:t>p</m:t>
        </m:r>
        <m:r>
          <m:t>e</m:t>
        </m:r>
        <m:r>
          <m:t>c</m:t>
        </m:r>
        <m:r>
          <m:t>t</m:t>
        </m:r>
        <m:r>
          <m:t>i</m:t>
        </m:r>
        <m:r>
          <m:t>v</m:t>
        </m:r>
        <m:r>
          <m:t>e</m:t>
        </m:r>
        <m:r>
          <m:t>l</m:t>
        </m:r>
        <m:r>
          <m:t>y</m:t>
        </m:r>
        <m:r>
          <m:rPr>
            <m:sty m:val="p"/>
          </m:rPr>
          <m:t>.</m:t>
        </m:r>
        <m:r>
          <m:t>T</m:t>
        </m:r>
        <m:r>
          <m:t>h</m:t>
        </m:r>
        <m:r>
          <m:t>e</m:t>
        </m:r>
        <m:r>
          <m:t>s</m:t>
        </m:r>
        <m:r>
          <m:t>t</m:t>
        </m:r>
        <m:r>
          <m:t>o</m:t>
        </m:r>
        <m:r>
          <m:t>c</m:t>
        </m:r>
        <m:r>
          <m:t>k</m:t>
        </m:r>
        <m:r>
          <m:t>f</m:t>
        </m:r>
        <m:r>
          <m:t>e</m:t>
        </m:r>
        <m:r>
          <m:t>l</m:t>
        </m:r>
        <m:r>
          <m:t>l</m:t>
        </m:r>
        <m:r>
          <m:t>f</m:t>
        </m:r>
        <m:r>
          <m:t>r</m:t>
        </m:r>
        <m:r>
          <m:t>o</m:t>
        </m:r>
        <m:r>
          <m:t>m</m:t>
        </m:r>
        <m:r>
          <m:rPr>
            <m:sty m:val="p"/>
          </m:rPr>
          <m:t>*</m:t>
        </m:r>
        <m:r>
          <m:rPr>
            <m:sty m:val="p"/>
          </m:rPr>
          <m:t>*</m:t>
        </m:r>
      </m:oMath>
      <w:r>
        <w:rPr>
          <w:b/>
          <w:bCs/>
        </w:rPr>
        <w:t xml:space="preserve">290.23 on July 13 to</w:t>
      </w:r>
      <w:r>
        <w:rPr>
          <w:b/>
          <w:bCs/>
        </w:rPr>
        <w:t xml:space="preserve"> </w:t>
      </w:r>
      <m:oMath>
        <m:r>
          <m:t>217.07</m:t>
        </m:r>
        <m:r>
          <m:t>o</m:t>
        </m:r>
        <m:r>
          <m:t>n</m:t>
        </m:r>
        <m:r>
          <m:t>J</m:t>
        </m:r>
        <m:r>
          <m:t>u</m:t>
        </m:r>
        <m:r>
          <m:t>l</m:t>
        </m:r>
        <m:r>
          <m:t>y</m:t>
        </m:r>
        <m:r>
          <m:t>14</m:t>
        </m:r>
        <m:r>
          <m:rPr>
            <m:sty m:val="p"/>
          </m:rPr>
          <m:t>*</m:t>
        </m:r>
        <m:r>
          <m:rPr>
            <m:sty m:val="p"/>
          </m:rPr>
          <m:t>*</m:t>
        </m:r>
        <m:r>
          <m:rPr>
            <m:sty m:val="p"/>
          </m:rPr>
          <m:t>(</m:t>
        </m:r>
        <m:r>
          <m:t>a</m:t>
        </m:r>
        <m:r>
          <m:t>b</m:t>
        </m:r>
        <m:r>
          <m:t>o</m:t>
        </m:r>
        <m:r>
          <m:t>u</m:t>
        </m:r>
        <m:r>
          <m:t>t</m:t>
        </m:r>
        <m:r>
          <m:rPr>
            <m:sty m:val="p"/>
          </m:rPr>
          <m:t>*</m:t>
        </m:r>
        <m:r>
          <m:rPr>
            <m:sty m:val="p"/>
          </m:rPr>
          <m:t>*</m:t>
        </m:r>
        <m:r>
          <m:t>25</m:t>
        </m:r>
      </m:oMath>
      <w:r>
        <w:rPr>
          <w:b/>
          <w:bCs/>
        </w:rPr>
        <w:t xml:space="preserve">210.54 on July 21</w:t>
      </w:r>
      <w:r>
        <w:t xml:space="preserve">—roughly</w:t>
      </w:r>
      <w:r>
        <w:t xml:space="preserve"> </w:t>
      </w:r>
      <w:r>
        <w:rPr>
          <w:b/>
          <w:bCs/>
        </w:rPr>
        <w:t xml:space="preserve">27% below</w:t>
      </w:r>
      <w:r>
        <w:t xml:space="preserve"> </w:t>
      </w:r>
      <w:r>
        <w:t xml:space="preserve">its pre-warning level.</w:t>
      </w:r>
    </w:p>
    <w:p>
      <w:pPr>
        <w:pStyle w:val="BodyText"/>
      </w:pPr>
      <w:r>
        <w:t xml:space="preserve">The key question is not whether IBM missed 2Q estimates—the preliminary release already answered that. It is whether the shortfall reflects:</w:t>
      </w:r>
    </w:p>
    <w:p>
      <w:pPr>
        <w:pStyle w:val="Compact"/>
        <w:numPr>
          <w:ilvl w:val="0"/>
          <w:numId w:val="1001"/>
        </w:numPr>
      </w:pPr>
      <w:r>
        <w:t xml:space="preserve">a</w:t>
      </w:r>
      <w:r>
        <w:t xml:space="preserve"> </w:t>
      </w:r>
      <w:r>
        <w:rPr>
          <w:b/>
          <w:bCs/>
        </w:rPr>
        <w:t xml:space="preserve">one-quarter timing and execution issue</w:t>
      </w:r>
      <w:r>
        <w:t xml:space="preserve">, with deferred large deals closing in the second half; or</w:t>
      </w:r>
    </w:p>
    <w:p>
      <w:pPr>
        <w:pStyle w:val="Compact"/>
        <w:numPr>
          <w:ilvl w:val="0"/>
          <w:numId w:val="1001"/>
        </w:numPr>
      </w:pPr>
      <w:r>
        <w:t xml:space="preserve">a more concerning shift in enterprise budgets away from IBM’s mainframe ecosystem and certain software categories toward AI infrastructure, memory, storage, and cybersecurity.</w:t>
      </w:r>
    </w:p>
    <w:p>
      <w:pPr>
        <w:pStyle w:val="FirstParagraph"/>
      </w:pPr>
      <w:r>
        <w:t xml:space="preserve">A credible reaffirmation of the full-year framework, supported by evidence that delayed transactions are progressing, would likely be constructive given the sharp stock reset. A guide-down—or an explanation that remains vague on the size and timing of the recovery—would reinforce fears that the miss is structural.</w:t>
      </w:r>
    </w:p>
    <w:p>
      <w:r>
        <w:pict>
          <v:rect style="width:0;height:1.5pt" o:hralign="center" o:hrstd="t" o:hr="t"/>
        </w:pict>
      </w:r>
    </w:p>
    <w:bookmarkEnd w:id="9"/>
    <w:bookmarkStart w:id="10" w:name="what-ibm-has-already-disclosed"/>
    <w:p>
      <w:pPr>
        <w:pStyle w:val="Heading2"/>
      </w:pPr>
      <w:r>
        <w:t xml:space="preserve">What IBM has already disclosed</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2Q26 preliminary result</w:t>
            </w:r>
          </w:p>
        </w:tc>
        <w:tc>
          <w:tcPr/>
          <w:p>
            <w:pPr>
              <w:pStyle w:val="Compact"/>
              <w:jc w:val="right"/>
            </w:pPr>
            <w:r>
              <w:t xml:space="preserve">YoY change</w:t>
            </w:r>
          </w:p>
        </w:tc>
        <w:tc>
          <w:tcPr/>
          <w:p>
            <w:pPr>
              <w:pStyle w:val="Compact"/>
              <w:jc w:val="right"/>
            </w:pPr>
            <w:r>
              <w:t xml:space="preserve">2Q25 actual</w:t>
            </w:r>
          </w:p>
        </w:tc>
      </w:tr>
      <w:tr>
        <w:tc>
          <w:tcPr/>
          <w:p>
            <w:pPr>
              <w:pStyle w:val="Compact"/>
            </w:pPr>
            <w:r>
              <w:t xml:space="preserve">Revenue</w:t>
            </w:r>
          </w:p>
        </w:tc>
        <w:tc>
          <w:tcPr/>
          <w:p>
            <w:pPr>
              <w:pStyle w:val="Compact"/>
              <w:jc w:val="right"/>
            </w:pPr>
            <w:r>
              <w:rPr>
                <w:b/>
                <w:bCs/>
              </w:rPr>
              <w:t xml:space="preserve">$17.2B</w:t>
            </w:r>
          </w:p>
        </w:tc>
        <w:tc>
          <w:tcPr/>
          <w:p>
            <w:pPr>
              <w:pStyle w:val="Compact"/>
              <w:jc w:val="right"/>
            </w:pPr>
            <w:r>
              <w:rPr>
                <w:b/>
                <w:bCs/>
              </w:rPr>
              <w:t xml:space="preserve">+1%</w:t>
            </w:r>
          </w:p>
        </w:tc>
        <w:tc>
          <w:tcPr/>
          <w:p>
            <w:pPr>
              <w:pStyle w:val="Compact"/>
              <w:jc w:val="right"/>
            </w:pPr>
            <w:r>
              <w:t xml:space="preserve">$17.0B</w:t>
            </w:r>
          </w:p>
        </w:tc>
      </w:tr>
      <w:tr>
        <w:tc>
          <w:tcPr/>
          <w:p>
            <w:pPr>
              <w:pStyle w:val="Compact"/>
            </w:pPr>
            <w:r>
              <w:t xml:space="preserve">Operating EPS</w:t>
            </w:r>
          </w:p>
        </w:tc>
        <w:tc>
          <w:tcPr/>
          <w:p>
            <w:pPr>
              <w:pStyle w:val="Compact"/>
              <w:jc w:val="right"/>
            </w:pPr>
            <w:r>
              <w:rPr>
                <w:b/>
                <w:bCs/>
              </w:rPr>
              <w:t xml:space="preserve">$2.93</w:t>
            </w:r>
          </w:p>
        </w:tc>
        <w:tc>
          <w:tcPr/>
          <w:p>
            <w:pPr>
              <w:pStyle w:val="Compact"/>
              <w:jc w:val="right"/>
            </w:pPr>
            <w:r>
              <w:rPr>
                <w:b/>
                <w:bCs/>
              </w:rPr>
              <w:t xml:space="preserve">+5%</w:t>
            </w:r>
          </w:p>
        </w:tc>
        <w:tc>
          <w:tcPr/>
          <w:p>
            <w:pPr>
              <w:pStyle w:val="Compact"/>
              <w:jc w:val="right"/>
            </w:pPr>
            <w:r>
              <w:t xml:space="preserve">$2.80</w:t>
            </w:r>
          </w:p>
        </w:tc>
      </w:tr>
      <w:tr>
        <w:tc>
          <w:tcPr/>
          <w:p>
            <w:pPr>
              <w:pStyle w:val="Compact"/>
            </w:pPr>
            <w:r>
              <w:t xml:space="preserve">GAAP EPS</w:t>
            </w:r>
          </w:p>
        </w:tc>
        <w:tc>
          <w:tcPr/>
          <w:p>
            <w:pPr>
              <w:pStyle w:val="Compact"/>
              <w:jc w:val="right"/>
            </w:pPr>
            <w:r>
              <w:t xml:space="preserve">$2.27</w:t>
            </w:r>
          </w:p>
        </w:tc>
        <w:tc>
          <w:tcPr/>
          <w:p>
            <w:pPr>
              <w:pStyle w:val="Compact"/>
              <w:jc w:val="right"/>
            </w:pPr>
            <w:r>
              <w:t xml:space="preserve">-2%</w:t>
            </w:r>
          </w:p>
        </w:tc>
        <w:tc>
          <w:tcPr/>
          <w:p>
            <w:pPr>
              <w:pStyle w:val="Compact"/>
              <w:jc w:val="right"/>
            </w:pPr>
            <w:r>
              <w:t xml:space="preserve">$2.31</w:t>
            </w:r>
          </w:p>
        </w:tc>
      </w:tr>
      <w:tr>
        <w:tc>
          <w:tcPr/>
          <w:p>
            <w:pPr>
              <w:pStyle w:val="Compact"/>
            </w:pPr>
            <w:r>
              <w:t xml:space="preserve">Software revenue</w:t>
            </w:r>
          </w:p>
        </w:tc>
        <w:tc>
          <w:tcPr/>
          <w:p>
            <w:pPr>
              <w:pStyle w:val="Compact"/>
              <w:jc w:val="right"/>
            </w:pPr>
            <w:r>
              <w:t xml:space="preserve">—</w:t>
            </w:r>
          </w:p>
        </w:tc>
        <w:tc>
          <w:tcPr/>
          <w:p>
            <w:pPr>
              <w:pStyle w:val="Compact"/>
              <w:jc w:val="right"/>
            </w:pPr>
            <w:r>
              <w:rPr>
                <w:b/>
                <w:bCs/>
              </w:rPr>
              <w:t xml:space="preserve">+5%</w:t>
            </w:r>
          </w:p>
        </w:tc>
        <w:tc>
          <w:tcPr/>
          <w:p>
            <w:pPr>
              <w:pStyle w:val="Compact"/>
              <w:jc w:val="right"/>
            </w:pPr>
            <w:r>
              <w:t xml:space="preserve">+10%</w:t>
            </w:r>
          </w:p>
        </w:tc>
      </w:tr>
      <w:tr>
        <w:tc>
          <w:tcPr/>
          <w:p>
            <w:pPr>
              <w:pStyle w:val="Compact"/>
            </w:pPr>
            <w:r>
              <w:t xml:space="preserve">Consulting revenue</w:t>
            </w:r>
          </w:p>
        </w:tc>
        <w:tc>
          <w:tcPr/>
          <w:p>
            <w:pPr>
              <w:pStyle w:val="Compact"/>
              <w:jc w:val="right"/>
            </w:pPr>
            <w:r>
              <w:t xml:space="preserve">—</w:t>
            </w:r>
          </w:p>
        </w:tc>
        <w:tc>
          <w:tcPr/>
          <w:p>
            <w:pPr>
              <w:pStyle w:val="Compact"/>
              <w:jc w:val="right"/>
            </w:pPr>
            <w:r>
              <w:rPr>
                <w:b/>
                <w:bCs/>
              </w:rPr>
              <w:t xml:space="preserve">Flat</w:t>
            </w:r>
          </w:p>
        </w:tc>
        <w:tc>
          <w:tcPr/>
          <w:p>
            <w:pPr>
              <w:pStyle w:val="Compact"/>
              <w:jc w:val="right"/>
            </w:pPr>
            <w:r>
              <w:t xml:space="preserve">+3%</w:t>
            </w:r>
          </w:p>
        </w:tc>
      </w:tr>
      <w:tr>
        <w:tc>
          <w:tcPr/>
          <w:p>
            <w:pPr>
              <w:pStyle w:val="Compact"/>
            </w:pPr>
            <w:r>
              <w:t xml:space="preserve">Infrastructure revenue</w:t>
            </w:r>
          </w:p>
        </w:tc>
        <w:tc>
          <w:tcPr/>
          <w:p>
            <w:pPr>
              <w:pStyle w:val="Compact"/>
              <w:jc w:val="right"/>
            </w:pPr>
            <w:r>
              <w:t xml:space="preserve">—</w:t>
            </w:r>
          </w:p>
        </w:tc>
        <w:tc>
          <w:tcPr/>
          <w:p>
            <w:pPr>
              <w:pStyle w:val="Compact"/>
              <w:jc w:val="right"/>
            </w:pPr>
            <w:r>
              <w:rPr>
                <w:b/>
                <w:bCs/>
              </w:rPr>
              <w:t xml:space="preserve">-7%</w:t>
            </w:r>
          </w:p>
        </w:tc>
        <w:tc>
          <w:tcPr/>
          <w:p>
            <w:pPr>
              <w:pStyle w:val="Compact"/>
              <w:jc w:val="right"/>
            </w:pPr>
            <w:r>
              <w:t xml:space="preserve">+14%</w:t>
            </w:r>
          </w:p>
        </w:tc>
      </w:tr>
      <w:tr>
        <w:tc>
          <w:tcPr/>
          <w:p>
            <w:pPr>
              <w:pStyle w:val="Compact"/>
            </w:pPr>
            <w:r>
              <w:t xml:space="preserve">Operating gross margin</w:t>
            </w:r>
          </w:p>
        </w:tc>
        <w:tc>
          <w:tcPr/>
          <w:p>
            <w:pPr>
              <w:pStyle w:val="Compact"/>
              <w:jc w:val="right"/>
            </w:pPr>
            <w:r>
              <w:rPr>
                <w:b/>
                <w:bCs/>
              </w:rPr>
              <w:t xml:space="preserve">59.4%</w:t>
            </w:r>
          </w:p>
        </w:tc>
        <w:tc>
          <w:tcPr/>
          <w:p>
            <w:pPr>
              <w:pStyle w:val="Compact"/>
              <w:jc w:val="right"/>
            </w:pPr>
            <w:r>
              <w:t xml:space="preserve">-70 bps</w:t>
            </w:r>
          </w:p>
        </w:tc>
        <w:tc>
          <w:tcPr/>
          <w:p>
            <w:pPr>
              <w:pStyle w:val="Compact"/>
              <w:jc w:val="right"/>
            </w:pPr>
            <w:r>
              <w:t xml:space="preserve">60.1%</w:t>
            </w:r>
          </w:p>
        </w:tc>
      </w:tr>
      <w:tr>
        <w:tc>
          <w:tcPr/>
          <w:p>
            <w:pPr>
              <w:pStyle w:val="Compact"/>
            </w:pPr>
            <w:r>
              <w:t xml:space="preserve">Operating pre-tax margin</w:t>
            </w:r>
          </w:p>
        </w:tc>
        <w:tc>
          <w:tcPr/>
          <w:p>
            <w:pPr>
              <w:pStyle w:val="Compact"/>
              <w:jc w:val="right"/>
            </w:pPr>
            <w:r>
              <w:rPr>
                <w:b/>
                <w:bCs/>
              </w:rPr>
              <w:t xml:space="preserve">19.2%</w:t>
            </w:r>
          </w:p>
        </w:tc>
        <w:tc>
          <w:tcPr/>
          <w:p>
            <w:pPr>
              <w:pStyle w:val="Compact"/>
              <w:jc w:val="right"/>
            </w:pPr>
            <w:r>
              <w:t xml:space="preserve">+30 bps</w:t>
            </w:r>
          </w:p>
        </w:tc>
        <w:tc>
          <w:tcPr/>
          <w:p>
            <w:pPr>
              <w:pStyle w:val="Compact"/>
              <w:jc w:val="right"/>
            </w:pPr>
            <w:r>
              <w:t xml:space="preserve">18.8%</w:t>
            </w:r>
          </w:p>
        </w:tc>
      </w:tr>
      <w:tr>
        <w:tc>
          <w:tcPr/>
          <w:p>
            <w:pPr>
              <w:pStyle w:val="Compact"/>
            </w:pPr>
            <w:r>
              <w:t xml:space="preserve">YTD free cash flow</w:t>
            </w:r>
          </w:p>
        </w:tc>
        <w:tc>
          <w:tcPr/>
          <w:p>
            <w:pPr>
              <w:pStyle w:val="Compact"/>
              <w:jc w:val="right"/>
            </w:pPr>
            <w:r>
              <w:rPr>
                <w:b/>
                <w:bCs/>
              </w:rPr>
              <w:t xml:space="preserve">$4.8B</w:t>
            </w:r>
          </w:p>
        </w:tc>
        <w:tc>
          <w:tcPr/>
          <w:p>
            <w:pPr>
              <w:pStyle w:val="Compact"/>
              <w:jc w:val="right"/>
            </w:pPr>
            <w:r>
              <w:t xml:space="preserve">Essentially flat</w:t>
            </w:r>
          </w:p>
        </w:tc>
        <w:tc>
          <w:tcPr/>
          <w:p>
            <w:pPr>
              <w:pStyle w:val="Compact"/>
              <w:jc w:val="right"/>
            </w:pPr>
            <w:r>
              <w:t xml:space="preserve">$4.8B</w:t>
            </w:r>
          </w:p>
        </w:tc>
      </w:tr>
    </w:tbl>
    <w:p>
      <w:pPr>
        <w:pStyle w:val="BodyText"/>
      </w:pPr>
      <w:r>
        <w:rPr>
          <w:i/>
          <w:iCs/>
        </w:rPr>
        <w:t xml:space="preserve">Source: IBM’s July 14 preliminary-results letter; historical comparison from IBM’s 2Q25 earnings release.</w:t>
      </w:r>
    </w:p>
    <w:p>
      <w:pPr>
        <w:pStyle w:val="BodyText"/>
      </w:pPr>
      <w:r>
        <w:t xml:space="preserve">The segment mix matters more than the modest EPS growth:</w:t>
      </w:r>
    </w:p>
    <w:p>
      <w:pPr>
        <w:pStyle w:val="Compact"/>
        <w:numPr>
          <w:ilvl w:val="0"/>
          <w:numId w:val="1002"/>
        </w:numPr>
      </w:pPr>
      <w:r>
        <w:rPr>
          <w:b/>
          <w:bCs/>
        </w:rPr>
        <w:t xml:space="preserve">Software grew 5%</w:t>
      </w:r>
      <w:r>
        <w:t xml:space="preserve">, a material deceleration from</w:t>
      </w:r>
      <w:r>
        <w:t xml:space="preserve"> </w:t>
      </w:r>
      <w:r>
        <w:rPr>
          <w:b/>
          <w:bCs/>
        </w:rPr>
        <w:t xml:space="preserve">10%</w:t>
      </w:r>
      <w:r>
        <w:t xml:space="preserve"> </w:t>
      </w:r>
      <w:r>
        <w:t xml:space="preserve">in 2Q25 and from</w:t>
      </w:r>
      <w:r>
        <w:t xml:space="preserve"> </w:t>
      </w:r>
      <w:r>
        <w:rPr>
          <w:b/>
          <w:bCs/>
        </w:rPr>
        <w:t xml:space="preserve">8% constant-currency growth in 1Q26</w:t>
      </w:r>
      <w:r>
        <w:t xml:space="preserve">.</w:t>
      </w:r>
    </w:p>
    <w:p>
      <w:pPr>
        <w:pStyle w:val="Compact"/>
        <w:numPr>
          <w:ilvl w:val="0"/>
          <w:numId w:val="1002"/>
        </w:numPr>
      </w:pPr>
      <w:r>
        <w:rPr>
          <w:b/>
          <w:bCs/>
        </w:rPr>
        <w:t xml:space="preserve">Infrastructure fell 7%</w:t>
      </w:r>
      <w:r>
        <w:t xml:space="preserve">, versus 14% growth a year ago. The company specifically identified weaker IBM Z performance and the associated</w:t>
      </w:r>
      <w:r>
        <w:t xml:space="preserve"> </w:t>
      </w:r>
      <w:r>
        <w:rPr>
          <w:b/>
          <w:bCs/>
        </w:rPr>
        <w:t xml:space="preserve">Transaction Processing</w:t>
      </w:r>
      <w:r>
        <w:t xml:space="preserve"> </w:t>
      </w:r>
      <w:r>
        <w:t xml:space="preserve">software stack as major contributors.</w:t>
      </w:r>
    </w:p>
    <w:p>
      <w:pPr>
        <w:pStyle w:val="Compact"/>
        <w:numPr>
          <w:ilvl w:val="0"/>
          <w:numId w:val="1002"/>
        </w:numPr>
      </w:pPr>
      <w:r>
        <w:rPr>
          <w:b/>
          <w:bCs/>
        </w:rPr>
        <w:t xml:space="preserve">Consulting was flat</w:t>
      </w:r>
      <w:r>
        <w:t xml:space="preserve">, despite IBM’s prior expectation that consulting revenue would accelerate to low- to mid-single-digit growth during 2026.</w:t>
      </w:r>
    </w:p>
    <w:p>
      <w:pPr>
        <w:pStyle w:val="Compact"/>
        <w:numPr>
          <w:ilvl w:val="0"/>
          <w:numId w:val="1002"/>
        </w:numPr>
      </w:pPr>
      <w:r>
        <w:t xml:space="preserve">Margins and EPS held up better than revenue, suggesting productivity and mix partly cushioned the shortfall. But operating gross margin contracted, which limits the comfort investors can take from EPS alone.</w:t>
      </w:r>
    </w:p>
    <w:p>
      <w:r>
        <w:pict>
          <v:rect style="width:0;height:1.5pt" o:hralign="center" o:hrstd="t" o:hr="t"/>
        </w:pict>
      </w:r>
    </w:p>
    <w:bookmarkEnd w:id="10"/>
    <w:bookmarkStart w:id="13" w:name="Xf9076e5c0285fe87780e5c050afc6792699de92"/>
    <w:p>
      <w:pPr>
        <w:pStyle w:val="Heading2"/>
      </w:pPr>
      <w:r>
        <w:t xml:space="preserve">The central issue: IBM Z and Transaction Processing</w:t>
      </w:r>
    </w:p>
    <w:p>
      <w:pPr>
        <w:pStyle w:val="FirstParagraph"/>
      </w:pPr>
      <w:r>
        <w:t xml:space="preserve">Management’s core explanation is that, during the final weeks of June, customers redirected quarterly technology budgets toward</w:t>
      </w:r>
      <w:r>
        <w:t xml:space="preserve"> </w:t>
      </w:r>
      <w:r>
        <w:rPr>
          <w:b/>
          <w:bCs/>
        </w:rPr>
        <w:t xml:space="preserve">servers, storage, and memory</w:t>
      </w:r>
      <w:r>
        <w:t xml:space="preserve"> </w:t>
      </w:r>
      <w:r>
        <w:t xml:space="preserve">to secure supply-constrained infrastructure ahead of anticipated price increases. IBM also cited rapidly evolving cybersecurity concerns distracting customers and said that numerous large deals did not close on expected schedules.</w:t>
      </w:r>
    </w:p>
    <w:p>
      <w:pPr>
        <w:pStyle w:val="BodyText"/>
      </w:pPr>
      <w:r>
        <w:t xml:space="preserve">This explanation has two implications:</w:t>
      </w:r>
    </w:p>
    <w:bookmarkStart w:id="11" w:name="the-constructive-interpretation"/>
    <w:p>
      <w:pPr>
        <w:pStyle w:val="Heading3"/>
      </w:pPr>
      <w:r>
        <w:t xml:space="preserve">The constructive interpretation</w:t>
      </w:r>
    </w:p>
    <w:p>
      <w:pPr>
        <w:pStyle w:val="FirstParagraph"/>
      </w:pPr>
      <w:r>
        <w:t xml:space="preserve">The customer spending did not disappear; it was</w:t>
      </w:r>
      <w:r>
        <w:t xml:space="preserve"> </w:t>
      </w:r>
      <w:r>
        <w:rPr>
          <w:b/>
          <w:bCs/>
        </w:rPr>
        <w:t xml:space="preserve">reallocated or delayed</w:t>
      </w:r>
      <w:r>
        <w:t xml:space="preserve">. IBM said the z17 program remains historically strong, with program-to-program performance near</w:t>
      </w:r>
      <w:r>
        <w:t xml:space="preserve"> </w:t>
      </w:r>
      <w:r>
        <w:rPr>
          <w:b/>
          <w:bCs/>
        </w:rPr>
        <w:t xml:space="preserve">130%</w:t>
      </w:r>
      <w:r>
        <w:t xml:space="preserve"> </w:t>
      </w:r>
      <w:r>
        <w:t xml:space="preserve">and</w:t>
      </w:r>
      <w:r>
        <w:t xml:space="preserve"> </w:t>
      </w:r>
      <w:r>
        <w:rPr>
          <w:b/>
          <w:bCs/>
        </w:rPr>
        <w:t xml:space="preserve">85% of installed MIPS</w:t>
      </w:r>
      <w:r>
        <w:t xml:space="preserve"> </w:t>
      </w:r>
      <w:r>
        <w:t xml:space="preserve">customers maintaining or expanding capacity. It also pointed to strong Distributed Infrastructure performance—up</w:t>
      </w:r>
      <w:r>
        <w:t xml:space="preserve"> </w:t>
      </w:r>
      <w:r>
        <w:rPr>
          <w:b/>
          <w:bCs/>
        </w:rPr>
        <w:t xml:space="preserve">37%</w:t>
      </w:r>
      <w:r>
        <w:t xml:space="preserve">, with roughly</w:t>
      </w:r>
      <w:r>
        <w:t xml:space="preserve"> </w:t>
      </w:r>
      <w:r>
        <w:rPr>
          <w:b/>
          <w:bCs/>
        </w:rPr>
        <w:t xml:space="preserve">$500 million of backlog</w:t>
      </w:r>
      <w:r>
        <w:t xml:space="preserve"> </w:t>
      </w:r>
      <w:r>
        <w:t xml:space="preserve">exiting the quarter.</w:t>
      </w:r>
    </w:p>
    <w:p>
      <w:pPr>
        <w:pStyle w:val="BodyText"/>
      </w:pPr>
      <w:r>
        <w:t xml:space="preserve">If delayed Z and Transaction Processing commitments are merely pushed into 3Q or 4Q, then the issue is recoverable. That outcome would preserve the thesis that the z17 cycle, increased AI inference workloads, and mainframe software monetization can still support medium-term growth.</w:t>
      </w:r>
    </w:p>
    <w:bookmarkEnd w:id="11"/>
    <w:bookmarkStart w:id="12" w:name="the-bearish-interpretation"/>
    <w:p>
      <w:pPr>
        <w:pStyle w:val="Heading3"/>
      </w:pPr>
      <w:r>
        <w:t xml:space="preserve">The bearish interpretation</w:t>
      </w:r>
    </w:p>
    <w:p>
      <w:pPr>
        <w:pStyle w:val="FirstParagraph"/>
      </w:pPr>
      <w:r>
        <w:t xml:space="preserve">The warning exposed a more fundamental problem: IBM’s highest-margin mainframe hardware and transaction-processing revenues may be increasingly vulnerable when CIO budgets are constrained by AI-related compute, memory, and security spending. In that case, “timing” becomes a softer description for a longer purchasing-cycle reset.</w:t>
      </w:r>
    </w:p>
    <w:p>
      <w:pPr>
        <w:pStyle w:val="BodyText"/>
      </w:pPr>
      <w:r>
        <w:t xml:space="preserve">The call needs to establish whether the June behavior was narrowly concentrated in a handful of delayed transactions or broad across industries, regions, and customer types.</w:t>
      </w:r>
    </w:p>
    <w:p>
      <w:r>
        <w:pict>
          <v:rect style="width:0;height:1.5pt" o:hralign="center" o:hrstd="t" o:hr="t"/>
        </w:pict>
      </w:r>
    </w:p>
    <w:bookmarkEnd w:id="12"/>
    <w:bookmarkEnd w:id="13"/>
    <w:bookmarkStart w:id="16" w:name="software-the-most-important-read-through"/>
    <w:p>
      <w:pPr>
        <w:pStyle w:val="Heading2"/>
      </w:pPr>
      <w:r>
        <w:t xml:space="preserve">Software: the most important read-through</w:t>
      </w:r>
    </w:p>
    <w:p>
      <w:pPr>
        <w:pStyle w:val="FirstParagraph"/>
      </w:pPr>
      <w:r>
        <w:t xml:space="preserve">IBM’s software segment remains central to its valuation. In 1Q26, management raised its full-year software outlook to</w:t>
      </w:r>
      <w:r>
        <w:t xml:space="preserve"> </w:t>
      </w:r>
      <w:r>
        <w:rPr>
          <w:b/>
          <w:bCs/>
        </w:rPr>
        <w:t xml:space="preserve">10%+ constant-currency growth</w:t>
      </w:r>
      <w:r>
        <w:t xml:space="preserve">, underpinned by Red Hat, data, automation, acquisitions, and Transaction Processing monetization.</w:t>
      </w:r>
    </w:p>
    <w:p>
      <w:pPr>
        <w:pStyle w:val="BodyText"/>
      </w:pPr>
      <w:r>
        <w:t xml:space="preserve">The 2Q pre-announcement challenges that confidence—but it does not invalidate every component of the software thesis.</w:t>
      </w:r>
    </w:p>
    <w:bookmarkStart w:id="14" w:name="areas-that-appear-intact"/>
    <w:p>
      <w:pPr>
        <w:pStyle w:val="Heading3"/>
      </w:pPr>
      <w:r>
        <w:t xml:space="preserve">Areas that appear intact</w:t>
      </w:r>
    </w:p>
    <w:p>
      <w:pPr>
        <w:pStyle w:val="Compact"/>
        <w:numPr>
          <w:ilvl w:val="0"/>
          <w:numId w:val="1003"/>
        </w:numPr>
      </w:pPr>
      <w:r>
        <w:rPr>
          <w:b/>
          <w:bCs/>
        </w:rPr>
        <w:t xml:space="preserve">Red Hat accelerated to 11% growth</w:t>
      </w:r>
      <w:r>
        <w:t xml:space="preserve"> </w:t>
      </w:r>
      <w:r>
        <w:t xml:space="preserve">in 2Q, versus 10% in 1Q.</w:t>
      </w:r>
    </w:p>
    <w:p>
      <w:pPr>
        <w:pStyle w:val="Compact"/>
        <w:numPr>
          <w:ilvl w:val="0"/>
          <w:numId w:val="1003"/>
        </w:numPr>
      </w:pPr>
      <w:r>
        <w:t xml:space="preserve">IBM said recent acquisitions—</w:t>
      </w:r>
      <w:r>
        <w:rPr>
          <w:b/>
          <w:bCs/>
        </w:rPr>
        <w:t xml:space="preserve">HashiCorp and Confluent</w:t>
      </w:r>
      <w:r>
        <w:t xml:space="preserve">—performed strongly.</w:t>
      </w:r>
    </w:p>
    <w:p>
      <w:pPr>
        <w:pStyle w:val="Compact"/>
        <w:numPr>
          <w:ilvl w:val="0"/>
          <w:numId w:val="1003"/>
        </w:numPr>
      </w:pPr>
      <w:r>
        <w:t xml:space="preserve">In 1Q, IBM reported Data revenue growth of 16%, aided by demand for AI-related products, partnerships, and the early contribution from Confluent.</w:t>
      </w:r>
    </w:p>
    <w:p>
      <w:pPr>
        <w:pStyle w:val="Compact"/>
        <w:numPr>
          <w:ilvl w:val="0"/>
          <w:numId w:val="1003"/>
        </w:numPr>
      </w:pPr>
      <w:r>
        <w:t xml:space="preserve">IBM previously identified its software annuity base at approximately</w:t>
      </w:r>
      <w:r>
        <w:t xml:space="preserve"> </w:t>
      </w:r>
      <w:r>
        <w:rPr>
          <w:b/>
          <w:bCs/>
        </w:rPr>
        <w:t xml:space="preserve">$24.6 billion of ARR</w:t>
      </w:r>
      <w:r>
        <w:t xml:space="preserve">, up 10% year over year exiting 1Q.</w:t>
      </w:r>
    </w:p>
    <w:bookmarkEnd w:id="14"/>
    <w:bookmarkStart w:id="15" w:name="areas-under-pressure"/>
    <w:p>
      <w:pPr>
        <w:pStyle w:val="Heading3"/>
      </w:pPr>
      <w:r>
        <w:t xml:space="preserve">Areas under pressure</w:t>
      </w:r>
    </w:p>
    <w:p>
      <w:pPr>
        <w:pStyle w:val="Compact"/>
        <w:numPr>
          <w:ilvl w:val="0"/>
          <w:numId w:val="1004"/>
        </w:numPr>
      </w:pPr>
      <w:r>
        <w:t xml:space="preserve">The software miss was tied in part to the</w:t>
      </w:r>
      <w:r>
        <w:t xml:space="preserve"> </w:t>
      </w:r>
      <w:r>
        <w:rPr>
          <w:b/>
          <w:bCs/>
        </w:rPr>
        <w:t xml:space="preserve">Transaction Processing</w:t>
      </w:r>
      <w:r>
        <w:t xml:space="preserve"> </w:t>
      </w:r>
      <w:r>
        <w:t xml:space="preserve">stack, which is closely linked to mainframe capacity and IBM Z activity.</w:t>
      </w:r>
    </w:p>
    <w:p>
      <w:pPr>
        <w:pStyle w:val="Compact"/>
        <w:numPr>
          <w:ilvl w:val="0"/>
          <w:numId w:val="1004"/>
        </w:numPr>
      </w:pPr>
      <w:r>
        <w:t xml:space="preserve">Investors will want to distinguish core recurring software demand from mainframe-cycle-dependent and transactional revenue.</w:t>
      </w:r>
    </w:p>
    <w:p>
      <w:pPr>
        <w:pStyle w:val="Compact"/>
        <w:numPr>
          <w:ilvl w:val="0"/>
          <w:numId w:val="1004"/>
        </w:numPr>
      </w:pPr>
      <w:r>
        <w:t xml:space="preserve">IBM’s prior software guide was partly supported by acquisition contribution. The important question is whether</w:t>
      </w:r>
      <w:r>
        <w:t xml:space="preserve"> </w:t>
      </w:r>
      <w:r>
        <w:rPr>
          <w:b/>
          <w:bCs/>
        </w:rPr>
        <w:t xml:space="preserve">organic growth excluding Confluent and HashiCorp</w:t>
      </w:r>
      <w:r>
        <w:t xml:space="preserve"> </w:t>
      </w:r>
      <w:r>
        <w:t xml:space="preserve">remains consistent with the company’s long-term growth narrative.</w:t>
      </w:r>
    </w:p>
    <w:p>
      <w:pPr>
        <w:pStyle w:val="FirstParagraph"/>
      </w:pPr>
      <w:r>
        <w:rPr>
          <w:b/>
          <w:bCs/>
        </w:rPr>
        <w:t xml:space="preserve">What to listen for:</w:t>
      </w:r>
      <w:r>
        <w:t xml:space="preserve"> </w:t>
      </w:r>
      <w:r>
        <w:t xml:space="preserve">Red Hat growth and bookings; Data growth excluding acquisitions; Transaction Processing trends; annual recurring revenue; software bookings or transaction conversion; and whether management still stands behind 10%+ full-year software growth.</w:t>
      </w:r>
    </w:p>
    <w:p>
      <w:r>
        <w:pict>
          <v:rect style="width:0;height:1.5pt" o:hralign="center" o:hrstd="t" o:hr="t"/>
        </w:pict>
      </w:r>
    </w:p>
    <w:bookmarkEnd w:id="15"/>
    <w:bookmarkEnd w:id="16"/>
    <w:bookmarkStart w:id="17" w:name="consulting-still-a-weak-point"/>
    <w:p>
      <w:pPr>
        <w:pStyle w:val="Heading2"/>
      </w:pPr>
      <w:r>
        <w:t xml:space="preserve">Consulting: still a weak point</w:t>
      </w:r>
    </w:p>
    <w:p>
      <w:pPr>
        <w:pStyle w:val="FirstParagraph"/>
      </w:pPr>
      <w:r>
        <w:t xml:space="preserve">IBM Consulting grew only</w:t>
      </w:r>
      <w:r>
        <w:t xml:space="preserve"> </w:t>
      </w:r>
      <w:r>
        <w:rPr>
          <w:b/>
          <w:bCs/>
        </w:rPr>
        <w:t xml:space="preserve">1% at constant currency in 1Q26</w:t>
      </w:r>
      <w:r>
        <w:t xml:space="preserve">, though signings improved 6% and management expected revenue growth to accelerate as the year progressed. The preliminary 2Q result—flat reported revenue and 1% constant-currency growth—indicates that acceleration has not yet materialized.</w:t>
      </w:r>
    </w:p>
    <w:p>
      <w:pPr>
        <w:pStyle w:val="BodyText"/>
      </w:pPr>
      <w:r>
        <w:t xml:space="preserve">IBM’s positive argument is that GenAI is becoming embedded in the business: at the end of 1Q, management said GenAI represented about</w:t>
      </w:r>
      <w:r>
        <w:t xml:space="preserve"> </w:t>
      </w:r>
      <w:r>
        <w:rPr>
          <w:b/>
          <w:bCs/>
        </w:rPr>
        <w:t xml:space="preserve">30% of consulting backlog</w:t>
      </w:r>
      <w:r>
        <w:t xml:space="preserve">, more than 20% of consulting revenue, and over</w:t>
      </w:r>
      <w:r>
        <w:t xml:space="preserve"> </w:t>
      </w:r>
      <w:r>
        <w:rPr>
          <w:b/>
          <w:bCs/>
        </w:rPr>
        <w:t xml:space="preserve">$4 billion in annualized revenue</w:t>
      </w:r>
      <w:r>
        <w:t xml:space="preserve">. Yet this has not translated into stronger reported growth.</w:t>
      </w:r>
    </w:p>
    <w:p>
      <w:pPr>
        <w:pStyle w:val="BodyText"/>
      </w:pPr>
      <w:r>
        <w:t xml:space="preserve">The call needs to address whether consulting’s subdued revenue reflects ordinary backlog conversion timing, pricing pressure, reduced discretionary transformation spending, or productivity gains that lower billable labor demand.</w:t>
      </w:r>
    </w:p>
    <w:p>
      <w:r>
        <w:pict>
          <v:rect style="width:0;height:1.5pt" o:hralign="center" o:hrstd="t" o:hr="t"/>
        </w:pict>
      </w:r>
    </w:p>
    <w:bookmarkEnd w:id="17"/>
    <w:bookmarkStart w:id="19" w:name="guidance-is-the-event"/>
    <w:p>
      <w:pPr>
        <w:pStyle w:val="Heading2"/>
      </w:pPr>
      <w:r>
        <w:t xml:space="preserve">Guidance is the event</w:t>
      </w:r>
    </w:p>
    <w:p>
      <w:pPr>
        <w:pStyle w:val="FirstParagraph"/>
      </w:pPr>
      <w:r>
        <w:t xml:space="preserve">Prior to the pre-announcement, IBM’s 2026 guide called for:</w:t>
      </w:r>
    </w:p>
    <w:p>
      <w:pPr>
        <w:pStyle w:val="Compact"/>
        <w:numPr>
          <w:ilvl w:val="0"/>
          <w:numId w:val="1005"/>
        </w:numPr>
      </w:pPr>
      <w:r>
        <w:rPr>
          <w:b/>
          <w:bCs/>
        </w:rPr>
        <w:t xml:space="preserve">More than 5% constant-currency revenue growth</w:t>
      </w:r>
    </w:p>
    <w:p>
      <w:pPr>
        <w:pStyle w:val="Compact"/>
        <w:numPr>
          <w:ilvl w:val="0"/>
          <w:numId w:val="1005"/>
        </w:numPr>
      </w:pPr>
      <w:r>
        <w:rPr>
          <w:b/>
          <w:bCs/>
        </w:rPr>
        <w:t xml:space="preserve">Approximately</w:t>
      </w:r>
      <w:r>
        <w:rPr>
          <w:b/>
          <w:bCs/>
        </w:rPr>
        <w:t xml:space="preserve"> </w:t>
      </w:r>
      <m:oMath>
        <m:r>
          <m:t>1</m:t>
        </m:r>
        <m:r>
          <m:t>b</m:t>
        </m:r>
        <m:r>
          <m:t>i</m:t>
        </m:r>
        <m:r>
          <m:t>l</m:t>
        </m:r>
        <m:r>
          <m:t>l</m:t>
        </m:r>
        <m:r>
          <m:t>i</m:t>
        </m:r>
        <m:r>
          <m:t>o</m:t>
        </m:r>
        <m:r>
          <m:t>n</m:t>
        </m:r>
        <m:r>
          <m:t>o</m:t>
        </m:r>
        <m:r>
          <m:t>f</m:t>
        </m:r>
        <m:r>
          <m:t>f</m:t>
        </m:r>
        <m:r>
          <m:t>r</m:t>
        </m:r>
        <m:r>
          <m:t>e</m:t>
        </m:r>
        <m:r>
          <m:t>e</m:t>
        </m:r>
        <m:r>
          <m:rPr>
            <m:sty m:val="p"/>
          </m:rPr>
          <m:t>−</m:t>
        </m:r>
        <m:r>
          <m:t>c</m:t>
        </m:r>
        <m:r>
          <m:t>a</m:t>
        </m:r>
        <m:r>
          <m:t>s</m:t>
        </m:r>
        <m:r>
          <m:t>h</m:t>
        </m:r>
        <m:r>
          <m:rPr>
            <m:sty m:val="p"/>
          </m:rPr>
          <m:t>−</m:t>
        </m:r>
        <m:r>
          <m:t>f</m:t>
        </m:r>
        <m:r>
          <m:t>l</m:t>
        </m:r>
        <m:r>
          <m:t>o</m:t>
        </m:r>
        <m:r>
          <m:t>w</m:t>
        </m:r>
        <m:r>
          <m:t>g</m:t>
        </m:r>
        <m:r>
          <m:t>r</m:t>
        </m:r>
        <m:r>
          <m:t>o</m:t>
        </m:r>
        <m:r>
          <m:t>w</m:t>
        </m:r>
        <m:r>
          <m:t>t</m:t>
        </m:r>
        <m:r>
          <m:t>h</m:t>
        </m:r>
        <m:r>
          <m:rPr>
            <m:sty m:val="p"/>
          </m:rPr>
          <m:t>*</m:t>
        </m:r>
        <m:r>
          <m:rPr>
            <m:sty m:val="p"/>
          </m:rPr>
          <m:t>*</m:t>
        </m:r>
        <m:r>
          <m:rPr>
            <m:sty m:val="p"/>
          </m:rPr>
          <m:t>,</m:t>
        </m:r>
        <m:r>
          <m:t>i</m:t>
        </m:r>
        <m:r>
          <m:t>m</m:t>
        </m:r>
        <m:r>
          <m:t>p</m:t>
        </m:r>
        <m:r>
          <m:t>l</m:t>
        </m:r>
        <m:r>
          <m:t>y</m:t>
        </m:r>
        <m:r>
          <m:t>i</m:t>
        </m:r>
        <m:r>
          <m:t>n</m:t>
        </m:r>
        <m:r>
          <m:t>g</m:t>
        </m:r>
        <m:r>
          <m:t>r</m:t>
        </m:r>
        <m:r>
          <m:t>o</m:t>
        </m:r>
        <m:r>
          <m:t>u</m:t>
        </m:r>
        <m:r>
          <m:t>g</m:t>
        </m:r>
        <m:r>
          <m:t>h</m:t>
        </m:r>
        <m:r>
          <m:t>l</m:t>
        </m:r>
        <m:r>
          <m:t>y</m:t>
        </m:r>
        <m:r>
          <m:rPr>
            <m:sty m:val="p"/>
          </m:rPr>
          <m:t>*</m:t>
        </m:r>
        <m:r>
          <m:rPr>
            <m:sty m:val="p"/>
          </m:rPr>
          <m:t>*</m:t>
        </m:r>
      </m:oMath>
      <w:r>
        <w:rPr>
          <w:b/>
          <w:bCs/>
        </w:rPr>
        <w:t xml:space="preserve">15.7 billion</w:t>
      </w:r>
      <w:r>
        <w:t xml:space="preserve"> </w:t>
      </w:r>
      <w:r>
        <w:t xml:space="preserve">of FCF versus $14.7 billion in 2025</w:t>
      </w:r>
    </w:p>
    <w:p>
      <w:pPr>
        <w:pStyle w:val="Compact"/>
        <w:numPr>
          <w:ilvl w:val="0"/>
          <w:numId w:val="1005"/>
        </w:numPr>
      </w:pPr>
      <w:r>
        <w:t xml:space="preserve">About</w:t>
      </w:r>
      <w:r>
        <w:t xml:space="preserve"> </w:t>
      </w:r>
      <w:r>
        <w:rPr>
          <w:b/>
          <w:bCs/>
        </w:rPr>
        <w:t xml:space="preserve">one point of operating pre-tax-margin expansion</w:t>
      </w:r>
    </w:p>
    <w:p>
      <w:pPr>
        <w:pStyle w:val="Compact"/>
        <w:numPr>
          <w:ilvl w:val="0"/>
          <w:numId w:val="1005"/>
        </w:numPr>
      </w:pPr>
      <w:r>
        <w:t xml:space="preserve">Software growth of</w:t>
      </w:r>
      <w:r>
        <w:t xml:space="preserve"> </w:t>
      </w:r>
      <w:r>
        <w:rPr>
          <w:b/>
          <w:bCs/>
        </w:rPr>
        <w:t xml:space="preserve">10%+</w:t>
      </w:r>
    </w:p>
    <w:p>
      <w:pPr>
        <w:pStyle w:val="Compact"/>
        <w:numPr>
          <w:ilvl w:val="0"/>
          <w:numId w:val="1005"/>
        </w:numPr>
      </w:pPr>
      <w:r>
        <w:t xml:space="preserve">Consulting growth in the</w:t>
      </w:r>
      <w:r>
        <w:t xml:space="preserve"> </w:t>
      </w:r>
      <w:r>
        <w:rPr>
          <w:b/>
          <w:bCs/>
        </w:rPr>
        <w:t xml:space="preserve">low- to mid-single digits</w:t>
      </w:r>
    </w:p>
    <w:p>
      <w:pPr>
        <w:pStyle w:val="Compact"/>
        <w:numPr>
          <w:ilvl w:val="0"/>
          <w:numId w:val="1005"/>
        </w:numPr>
      </w:pPr>
      <w:r>
        <w:t xml:space="preserve">Infrastructure revenue down</w:t>
      </w:r>
      <w:r>
        <w:t xml:space="preserve"> </w:t>
      </w:r>
      <w:r>
        <w:rPr>
          <w:b/>
          <w:bCs/>
        </w:rPr>
        <w:t xml:space="preserve">low single digits</w:t>
      </w:r>
      <w:r>
        <w:t xml:space="preserve"> </w:t>
      </w:r>
      <w:r>
        <w:t xml:space="preserve">for the full year</w:t>
      </w:r>
    </w:p>
    <w:p>
      <w:pPr>
        <w:pStyle w:val="FirstParagraph"/>
      </w:pPr>
      <w:r>
        <w:t xml:space="preserve">The preliminary 2Q release did</w:t>
      </w:r>
      <w:r>
        <w:t xml:space="preserve"> </w:t>
      </w:r>
      <w:r>
        <w:rPr>
          <w:b/>
          <w:bCs/>
        </w:rPr>
        <w:t xml:space="preserve">not</w:t>
      </w:r>
      <w:r>
        <w:t xml:space="preserve"> </w:t>
      </w:r>
      <w:r>
        <w:t xml:space="preserve">reiterate or revise this framework. Management instead said it would discuss full-year expectations on the July 22 call.</w:t>
      </w:r>
    </w:p>
    <w:bookmarkStart w:id="18" w:name="X7bb763339001b30f76d88665da3db3a86b783df"/>
    <w:p>
      <w:pPr>
        <w:pStyle w:val="Heading3"/>
      </w:pPr>
      <w:r>
        <w:t xml:space="preserve">Why the FCF guide is especially important</w:t>
      </w:r>
    </w:p>
    <w:p>
      <w:pPr>
        <w:pStyle w:val="FirstParagraph"/>
      </w:pPr>
      <w:r>
        <w:t xml:space="preserve">IBM generated</w:t>
      </w:r>
      <w:r>
        <w:t xml:space="preserve"> </w:t>
      </w:r>
      <w:r>
        <w:rPr>
          <w:b/>
          <w:bCs/>
        </w:rPr>
        <w:t xml:space="preserve">$4.76 billion</w:t>
      </w:r>
      <w:r>
        <w:t xml:space="preserve"> </w:t>
      </w:r>
      <w:r>
        <w:t xml:space="preserve">in free cash flow in the first half, essentially unchanged from 1H25. That is only about 30% of the roughly $15.7 billion implied by the prior full-year objective, although IBM’s cash flow is historically very back-end weighted.</w:t>
      </w:r>
    </w:p>
    <w:p>
      <w:pPr>
        <w:pStyle w:val="BodyText"/>
      </w:pPr>
      <w:r>
        <w:t xml:space="preserve">Maintaining the FCF outlook is possible, but it would require clear confidence in second-half earnings conversion, working capital, and deal closures. Investors should focus less on a simple reaffirmation and more on the bridge:</w:t>
      </w:r>
      <w:r>
        <w:t xml:space="preserve"> </w:t>
      </w:r>
      <w:r>
        <w:rPr>
          <w:b/>
          <w:bCs/>
        </w:rPr>
        <w:t xml:space="preserve">What specifically supports a substantial second-half FCF ramp after the revenue shortfall?</w:t>
      </w:r>
    </w:p>
    <w:p>
      <w:r>
        <w:pict>
          <v:rect style="width:0;height:1.5pt" o:hralign="center" o:hrstd="t" o:hr="t"/>
        </w:pict>
      </w:r>
    </w:p>
    <w:bookmarkEnd w:id="18"/>
    <w:bookmarkEnd w:id="19"/>
    <w:bookmarkStart w:id="23" w:name="bull-base-and-bear-framing"/>
    <w:p>
      <w:pPr>
        <w:pStyle w:val="Heading2"/>
      </w:pPr>
      <w:r>
        <w:t xml:space="preserve">Bull, base, and bear framing</w:t>
      </w:r>
    </w:p>
    <w:bookmarkStart w:id="20" w:name="X0f3fb393a94b7e2afc33f22bcd06da98e5af5da"/>
    <w:p>
      <w:pPr>
        <w:pStyle w:val="Heading3"/>
      </w:pPr>
      <w:r>
        <w:t xml:space="preserve">Bull case: deferred demand, not destroyed demand</w:t>
      </w:r>
    </w:p>
    <w:p>
      <w:pPr>
        <w:pStyle w:val="Compact"/>
        <w:numPr>
          <w:ilvl w:val="0"/>
          <w:numId w:val="1006"/>
        </w:numPr>
      </w:pPr>
      <w:r>
        <w:t xml:space="preserve">IBM reaffirms full-year revenue and FCF guidance.</w:t>
      </w:r>
    </w:p>
    <w:p>
      <w:pPr>
        <w:pStyle w:val="Compact"/>
        <w:numPr>
          <w:ilvl w:val="0"/>
          <w:numId w:val="1006"/>
        </w:numPr>
      </w:pPr>
      <w:r>
        <w:t xml:space="preserve">Management identifies discrete delayed deals that have since advanced or closed.</w:t>
      </w:r>
    </w:p>
    <w:p>
      <w:pPr>
        <w:pStyle w:val="Compact"/>
        <w:numPr>
          <w:ilvl w:val="0"/>
          <w:numId w:val="1006"/>
        </w:numPr>
      </w:pPr>
      <w:r>
        <w:t xml:space="preserve">Red Hat remains solidly double digit; Data and acquired assets continue to grow strongly.</w:t>
      </w:r>
    </w:p>
    <w:p>
      <w:pPr>
        <w:pStyle w:val="Compact"/>
        <w:numPr>
          <w:ilvl w:val="0"/>
          <w:numId w:val="1006"/>
        </w:numPr>
      </w:pPr>
      <w:r>
        <w:t xml:space="preserve">The z17 program remains robust, and the weakness proves isolated to late-quarter budget reprioritization.</w:t>
      </w:r>
    </w:p>
    <w:p>
      <w:pPr>
        <w:pStyle w:val="Compact"/>
        <w:numPr>
          <w:ilvl w:val="0"/>
          <w:numId w:val="1006"/>
        </w:numPr>
      </w:pPr>
      <w:r>
        <w:t xml:space="preserve">Margin discipline and free-cash-flow conversion remain intact.</w:t>
      </w:r>
    </w:p>
    <w:p>
      <w:pPr>
        <w:pStyle w:val="FirstParagraph"/>
      </w:pPr>
      <w:r>
        <w:rPr>
          <w:b/>
          <w:bCs/>
        </w:rPr>
        <w:t xml:space="preserve">Investor implication:</w:t>
      </w:r>
      <w:r>
        <w:t xml:space="preserve"> </w:t>
      </w:r>
      <w:r>
        <w:t xml:space="preserve">The July 14 selloff may have discounted a more severe or persistent slowdown than the facts justify.</w:t>
      </w:r>
    </w:p>
    <w:bookmarkEnd w:id="20"/>
    <w:bookmarkStart w:id="21" w:name="Xfb95d10901b8c0fdf21417f944298e666062290"/>
    <w:p>
      <w:pPr>
        <w:pStyle w:val="Heading3"/>
      </w:pPr>
      <w:r>
        <w:t xml:space="preserve">Base case: guidance is retained but execution risk rises</w:t>
      </w:r>
    </w:p>
    <w:p>
      <w:pPr>
        <w:pStyle w:val="Compact"/>
        <w:numPr>
          <w:ilvl w:val="0"/>
          <w:numId w:val="1007"/>
        </w:numPr>
      </w:pPr>
      <w:r>
        <w:t xml:space="preserve">IBM keeps its broad annual targets but acknowledges a narrower margin for error.</w:t>
      </w:r>
    </w:p>
    <w:p>
      <w:pPr>
        <w:pStyle w:val="Compact"/>
        <w:numPr>
          <w:ilvl w:val="0"/>
          <w:numId w:val="1007"/>
        </w:numPr>
      </w:pPr>
      <w:r>
        <w:t xml:space="preserve">Management expects delayed deals to convert over the next two quarters but gives limited quantitative evidence.</w:t>
      </w:r>
    </w:p>
    <w:p>
      <w:pPr>
        <w:pStyle w:val="Compact"/>
        <w:numPr>
          <w:ilvl w:val="0"/>
          <w:numId w:val="1007"/>
        </w:numPr>
      </w:pPr>
      <w:r>
        <w:t xml:space="preserve">Software growth decelerates, Consulting remains muted, and Infrastructure recovery is gradual.</w:t>
      </w:r>
    </w:p>
    <w:p>
      <w:pPr>
        <w:pStyle w:val="Compact"/>
        <w:numPr>
          <w:ilvl w:val="0"/>
          <w:numId w:val="1007"/>
        </w:numPr>
      </w:pPr>
      <w:r>
        <w:t xml:space="preserve">FCF remains back-end weighted.</w:t>
      </w:r>
    </w:p>
    <w:p>
      <w:pPr>
        <w:pStyle w:val="FirstParagraph"/>
      </w:pPr>
      <w:r>
        <w:rPr>
          <w:b/>
          <w:bCs/>
        </w:rPr>
        <w:t xml:space="preserve">Investor implication:</w:t>
      </w:r>
      <w:r>
        <w:t xml:space="preserve"> </w:t>
      </w:r>
      <w:r>
        <w:t xml:space="preserve">The shares may stabilize, but a rapid re-rating would be difficult without tangible 3Q proof of recovery.</w:t>
      </w:r>
    </w:p>
    <w:bookmarkEnd w:id="21"/>
    <w:bookmarkStart w:id="22" w:name="X63d98aef9a16501f4a63a655260d413112dcc96"/>
    <w:p>
      <w:pPr>
        <w:pStyle w:val="Heading3"/>
      </w:pPr>
      <w:r>
        <w:t xml:space="preserve">Bear case: cut to revenue and/or FCF expectations</w:t>
      </w:r>
    </w:p>
    <w:p>
      <w:pPr>
        <w:pStyle w:val="Compact"/>
        <w:numPr>
          <w:ilvl w:val="0"/>
          <w:numId w:val="1008"/>
        </w:numPr>
      </w:pPr>
      <w:r>
        <w:t xml:space="preserve">IBM reduces its revenue-growth or FCF outlook.</w:t>
      </w:r>
    </w:p>
    <w:p>
      <w:pPr>
        <w:pStyle w:val="Compact"/>
        <w:numPr>
          <w:ilvl w:val="0"/>
          <w:numId w:val="1008"/>
        </w:numPr>
      </w:pPr>
      <w:r>
        <w:t xml:space="preserve">Management concedes that the budget shift is lasting longer than anticipated.</w:t>
      </w:r>
    </w:p>
    <w:p>
      <w:pPr>
        <w:pStyle w:val="Compact"/>
        <w:numPr>
          <w:ilvl w:val="0"/>
          <w:numId w:val="1008"/>
        </w:numPr>
      </w:pPr>
      <w:r>
        <w:t xml:space="preserve">Transaction Processing and IBM Z demand weaken beyond a normal post-launch-cycle decline.</w:t>
      </w:r>
    </w:p>
    <w:p>
      <w:pPr>
        <w:pStyle w:val="Compact"/>
        <w:numPr>
          <w:ilvl w:val="0"/>
          <w:numId w:val="1008"/>
        </w:numPr>
      </w:pPr>
      <w:r>
        <w:t xml:space="preserve">Consulting’s GenAI opportunity fails to produce meaningful top-line acceleration.</w:t>
      </w:r>
    </w:p>
    <w:p>
      <w:pPr>
        <w:pStyle w:val="Compact"/>
        <w:numPr>
          <w:ilvl w:val="0"/>
          <w:numId w:val="1008"/>
        </w:numPr>
      </w:pPr>
      <w:r>
        <w:t xml:space="preserve">The increased debt load following Confluent constrains strategic flexibility.</w:t>
      </w:r>
    </w:p>
    <w:p>
      <w:pPr>
        <w:pStyle w:val="FirstParagraph"/>
      </w:pPr>
      <w:r>
        <w:rPr>
          <w:b/>
          <w:bCs/>
        </w:rPr>
        <w:t xml:space="preserve">Investor implication:</w:t>
      </w:r>
      <w:r>
        <w:t xml:space="preserve"> </w:t>
      </w:r>
      <w:r>
        <w:t xml:space="preserve">The debate shifts from one-quarter execution to a reset of IBM’s growth and cash-flow algorithm.</w:t>
      </w:r>
    </w:p>
    <w:p>
      <w:r>
        <w:pict>
          <v:rect style="width:0;height:1.5pt" o:hralign="center" o:hrstd="t" o:hr="t"/>
        </w:pict>
      </w:r>
    </w:p>
    <w:bookmarkEnd w:id="22"/>
    <w:bookmarkEnd w:id="23"/>
    <w:bookmarkStart w:id="24" w:name="questions-investors-should-want-answered"/>
    <w:p>
      <w:pPr>
        <w:pStyle w:val="Heading2"/>
      </w:pPr>
      <w:r>
        <w:t xml:space="preserve">Questions investors should want answered</w:t>
      </w:r>
    </w:p>
    <w:p>
      <w:pPr>
        <w:pStyle w:val="Compact"/>
        <w:numPr>
          <w:ilvl w:val="0"/>
          <w:numId w:val="1009"/>
        </w:numPr>
      </w:pPr>
      <w:r>
        <w:rPr>
          <w:b/>
          <w:bCs/>
        </w:rPr>
        <w:t xml:space="preserve">How much of the 2Q miss was IBM Z hardware versus Transaction Processing software versus other software categories?</w:t>
      </w:r>
    </w:p>
    <w:p>
      <w:pPr>
        <w:pStyle w:val="Compact"/>
        <w:numPr>
          <w:ilvl w:val="0"/>
          <w:numId w:val="1009"/>
        </w:numPr>
      </w:pPr>
      <w:r>
        <w:rPr>
          <w:b/>
          <w:bCs/>
        </w:rPr>
        <w:t xml:space="preserve">How many large transactions slipped, how concentrated were they, and what is the expected timing of closure?</w:t>
      </w:r>
    </w:p>
    <w:p>
      <w:pPr>
        <w:pStyle w:val="Compact"/>
        <w:numPr>
          <w:ilvl w:val="0"/>
          <w:numId w:val="1009"/>
        </w:numPr>
      </w:pPr>
      <w:r>
        <w:rPr>
          <w:b/>
          <w:bCs/>
        </w:rPr>
        <w:t xml:space="preserve">Does IBM still expect more than 5% constant-currency revenue growth and about $15.7 billion in 2026 FCF?</w:t>
      </w:r>
    </w:p>
    <w:p>
      <w:pPr>
        <w:pStyle w:val="Compact"/>
        <w:numPr>
          <w:ilvl w:val="0"/>
          <w:numId w:val="1009"/>
        </w:numPr>
      </w:pPr>
      <w:r>
        <w:rPr>
          <w:b/>
          <w:bCs/>
        </w:rPr>
        <w:t xml:space="preserve">Is the 10%+ software-growth target still realistic? What is the organic software outlook excluding Confluent and HashiCorp?</w:t>
      </w:r>
    </w:p>
    <w:p>
      <w:pPr>
        <w:pStyle w:val="Compact"/>
        <w:numPr>
          <w:ilvl w:val="0"/>
          <w:numId w:val="1009"/>
        </w:numPr>
      </w:pPr>
      <w:r>
        <w:rPr>
          <w:b/>
          <w:bCs/>
        </w:rPr>
        <w:t xml:space="preserve">Has spending reprioritization toward servers, storage, memory, and cybersecurity persisted into July?</w:t>
      </w:r>
    </w:p>
    <w:p>
      <w:pPr>
        <w:pStyle w:val="Compact"/>
        <w:numPr>
          <w:ilvl w:val="0"/>
          <w:numId w:val="1009"/>
        </w:numPr>
      </w:pPr>
      <w:r>
        <w:rPr>
          <w:b/>
          <w:bCs/>
        </w:rPr>
        <w:t xml:space="preserve">Why did management fail to adapt rapidly enough, and what specific sales, pipeline-management, or incentive changes are being made?</w:t>
      </w:r>
    </w:p>
    <w:p>
      <w:pPr>
        <w:pStyle w:val="Compact"/>
        <w:numPr>
          <w:ilvl w:val="0"/>
          <w:numId w:val="1009"/>
        </w:numPr>
      </w:pPr>
      <w:r>
        <w:rPr>
          <w:b/>
          <w:bCs/>
        </w:rPr>
        <w:t xml:space="preserve">Does the roughly $500 million Distributed Infrastructure backlog represent incremental demand or simply orders shifted away from IBM Z and mainframe software?</w:t>
      </w:r>
    </w:p>
    <w:p>
      <w:pPr>
        <w:pStyle w:val="Compact"/>
        <w:numPr>
          <w:ilvl w:val="0"/>
          <w:numId w:val="1009"/>
        </w:numPr>
      </w:pPr>
      <w:r>
        <w:rPr>
          <w:b/>
          <w:bCs/>
        </w:rPr>
        <w:t xml:space="preserve">Can Consulting convert its GenAI backlog into faster revenue growth, or is AI increasingly a productivity headwind to billable-services revenue?</w:t>
      </w:r>
    </w:p>
    <w:p>
      <w:pPr>
        <w:pStyle w:val="Compact"/>
        <w:numPr>
          <w:ilvl w:val="0"/>
          <w:numId w:val="1009"/>
        </w:numPr>
      </w:pPr>
      <w:r>
        <w:rPr>
          <w:b/>
          <w:bCs/>
        </w:rPr>
        <w:t xml:space="preserve">What is the current debt, interest-expense, and Confluent-integration outlook following the acquisition?</w:t>
      </w:r>
    </w:p>
    <w:p>
      <w:r>
        <w:pict>
          <v:rect style="width:0;height:1.5pt" o:hralign="center" o:hrstd="t" o:hr="t"/>
        </w:pict>
      </w:r>
    </w:p>
    <w:bookmarkEnd w:id="24"/>
    <w:bookmarkStart w:id="25" w:name="investment-view-into-the-call"/>
    <w:p>
      <w:pPr>
        <w:pStyle w:val="Heading2"/>
      </w:pPr>
      <w:r>
        <w:t xml:space="preserve">Investment view into the call</w:t>
      </w:r>
    </w:p>
    <w:p>
      <w:pPr>
        <w:pStyle w:val="FirstParagraph"/>
      </w:pPr>
      <w:r>
        <w:t xml:space="preserve">IBM’s 2Q26 report is fundamentally a</w:t>
      </w:r>
      <w:r>
        <w:t xml:space="preserve"> </w:t>
      </w:r>
      <w:r>
        <w:rPr>
          <w:b/>
          <w:bCs/>
        </w:rPr>
        <w:t xml:space="preserve">credibility and guidance event</w:t>
      </w:r>
      <w:r>
        <w:t xml:space="preserve">, not a traditional earnings beat/miss event. The preliminary figures show a business that still produced modest EPS growth, margin expansion at the operating pre-tax line, and stable first-half cash flow—but whose revenue engine weakened abruptly in the most strategically important areas: mainframe-linked infrastructure and Transaction Processing software.</w:t>
      </w:r>
    </w:p>
    <w:p>
      <w:pPr>
        <w:pStyle w:val="BodyText"/>
      </w:pPr>
      <w:r>
        <w:t xml:space="preserve">The stock’s decline has lowered the bar on reported 2Q figures, but it has raised the bar on management’s explanation. For the shares to recover sustainably, IBM must show that the June disruption was temporary, that its software growth engine remains healthy outside of mainframe-linked Transaction Processing, and that the company can still deliver its 2026 free-cash-flow commitment without relying on an implausibly sharp second-half rebound.</w:t>
      </w:r>
    </w:p>
    <w:bookmarkEnd w:id="25"/>
    <w:bookmarkEnd w:id="2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2026-07-22T01:09:29Z</dcterms:created>
  <dcterms:modified xsi:type="dcterms:W3CDTF">2026-07-22T01:09:29Z</dcterms:modified>
</cp:coreProperties>
</file>

<file path=docProps/custom.xml><?xml version="1.0" encoding="utf-8"?>
<Properties xmlns="http://schemas.openxmlformats.org/officeDocument/2006/custom-properties" xmlns:vt="http://schemas.openxmlformats.org/officeDocument/2006/docPropsVTypes"/>
</file>