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IBM (International Business Machines Corporation)</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IBM US</w:t>
            </w:r>
          </w:p>
        </w:tc>
      </w:tr>
      <w:tr>
        <w:tc>
          <w:tcPr>
            <w:tcW w:type="dxa" w:w="4320"/>
          </w:tcPr>
          <w:p>
            <w:r>
              <w:rPr>
                <w:rFonts w:ascii="Calibri" w:hAnsi="Calibri"/>
                <w:b/>
                <w:sz w:val="22"/>
              </w:rPr>
              <w:t>Upcoming Earnings</w:t>
            </w:r>
          </w:p>
        </w:tc>
        <w:tc>
          <w:tcPr>
            <w:tcW w:type="dxa" w:w="4320"/>
          </w:tcPr>
          <w:p>
            <w:r>
              <w:rPr>
                <w:rFonts w:ascii="Calibri" w:hAnsi="Calibri"/>
                <w:sz w:val="22"/>
              </w:rPr>
              <w:t>July 22, 2026 (Q2 2026 Earnings Call, 5:00 PM ET)</w:t>
            </w:r>
          </w:p>
        </w:tc>
      </w:tr>
      <w:tr>
        <w:tc>
          <w:tcPr>
            <w:tcW w:type="dxa" w:w="4320"/>
          </w:tcPr>
          <w:p>
            <w:r>
              <w:rPr>
                <w:rFonts w:ascii="Calibri" w:hAnsi="Calibri"/>
                <w:b/>
                <w:sz w:val="22"/>
              </w:rPr>
              <w:t>Pre-Announcement Date</w:t>
            </w:r>
          </w:p>
        </w:tc>
        <w:tc>
          <w:tcPr>
            <w:tcW w:type="dxa" w:w="4320"/>
          </w:tcPr>
          <w:p>
            <w:r>
              <w:rPr>
                <w:rFonts w:ascii="Calibri" w:hAnsi="Calibri"/>
                <w:sz w:val="22"/>
              </w:rPr>
              <w:t>July 14, 2026 (Selected Preliminary Q2 Results Released)</w:t>
            </w:r>
          </w:p>
        </w:tc>
      </w:tr>
      <w:tr>
        <w:tc>
          <w:tcPr>
            <w:tcW w:type="dxa" w:w="4320"/>
          </w:tcPr>
          <w:p>
            <w:r>
              <w:rPr>
                <w:rFonts w:ascii="Calibri" w:hAnsi="Calibri"/>
                <w:b/>
                <w:sz w:val="22"/>
              </w:rPr>
              <w:t>Last Reported Period</w:t>
            </w:r>
          </w:p>
        </w:tc>
        <w:tc>
          <w:tcPr>
            <w:tcW w:type="dxa" w:w="4320"/>
          </w:tcPr>
          <w:p>
            <w:r>
              <w:rPr>
                <w:rFonts w:ascii="Calibri" w:hAnsi="Calibri"/>
                <w:sz w:val="22"/>
              </w:rPr>
              <w:t>Q1 2026 (Reported April 22, 2026)</w:t>
            </w:r>
          </w:p>
        </w:tc>
      </w:tr>
      <w:tr>
        <w:tc>
          <w:tcPr>
            <w:tcW w:type="dxa" w:w="4320"/>
          </w:tcPr>
          <w:p>
            <w:r>
              <w:rPr>
                <w:rFonts w:ascii="Calibri" w:hAnsi="Calibri"/>
                <w:b/>
                <w:sz w:val="22"/>
              </w:rPr>
              <w:t>Prepared Date</w:t>
            </w:r>
          </w:p>
        </w:tc>
        <w:tc>
          <w:tcPr>
            <w:tcW w:type="dxa" w:w="4320"/>
          </w:tcPr>
          <w:p>
            <w:r>
              <w:rPr>
                <w:rFonts w:ascii="Calibri" w:hAnsi="Calibri"/>
                <w:sz w:val="22"/>
              </w:rPr>
              <w:t>July 21, 2026</w:t>
            </w:r>
          </w:p>
        </w:tc>
      </w:tr>
      <w:tr>
        <w:tc>
          <w:tcPr>
            <w:tcW w:type="dxa" w:w="4320"/>
          </w:tcPr>
          <w:p>
            <w:r>
              <w:rPr>
                <w:rFonts w:ascii="Calibri" w:hAnsi="Calibri"/>
                <w:b/>
                <w:sz w:val="22"/>
              </w:rPr>
              <w:t>Sector / ETF Benchmark</w:t>
            </w:r>
          </w:p>
        </w:tc>
        <w:tc>
          <w:tcPr>
            <w:tcW w:type="dxa" w:w="4320"/>
          </w:tcPr>
          <w:p>
            <w:r>
              <w:rPr>
                <w:rFonts w:ascii="Calibri" w:hAnsi="Calibri"/>
                <w:sz w:val="22"/>
              </w:rPr>
              <w:t>Information Technology / IGV (iShares Expanded Tech-Software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IBM's Q2 2026 pre-announcement on July 14 was a clear miss — revenue of $17.2B came in below the $17.4B consensus, driven by a worse-than-expected Z mainframe shortfall and a capex reprioritization shock in the final weeks of June. The July 22 call is now about damage control and guidance reset, not a beat/miss debate.</w:t>
      </w:r>
    </w:p>
    <w:p>
      <w:r>
        <w:rPr>
          <w:rFonts w:ascii="Calibri" w:hAnsi="Calibri"/>
          <w:color w:val="525866"/>
          <w:sz w:val="22"/>
        </w:rPr>
        <w:t xml:space="preserve">IBM enters its July 22 earnings call in an unusual position: the headline numbers are already known from the July 14 pre-announcement, shifting investor focus entirely to management's explanation, full-year guidance revision, and credibility restoration. </w:t>
      </w:r>
      <w:r>
        <w:rPr>
          <w:rFonts w:ascii="Calibri" w:hAnsi="Calibri"/>
          <w:b/>
          <w:color w:val="525866"/>
          <w:sz w:val="22"/>
        </w:rPr>
        <w:t>Revenue of $17.2B (+1% YoY) missed consensus of ~$17.4B</w:t>
      </w:r>
      <w:r>
        <w:rPr>
          <w:rFonts w:ascii="Calibri" w:hAnsi="Calibri"/>
          <w:color w:val="525866"/>
          <w:sz w:val="22"/>
        </w:rPr>
        <w:t xml:space="preserve">, with the shortfall concentrated in Infrastructure (down 7% vs. expectations of a low-single-digit decline) and Software (up 5% vs. expectations of ~8%), where Transaction Processing was hit by the Z mainframe wrap. The proximate causes — clients diverting late-June capex to servers/storage/memory ahead of tariff-driven price increases, industry-wide cybersecurity distractions, and IBM's own admission that it "faltered" in closing large deals — are a mix of macro headwinds and execution failure, which complicates the narrative. </w:t>
      </w:r>
      <w:r>
        <w:rPr>
          <w:rFonts w:ascii="Calibri" w:hAnsi="Calibri"/>
          <w:b/>
          <w:color w:val="525866"/>
          <w:sz w:val="22"/>
        </w:rPr>
        <w:t>On the positive side, Operating EPS of $2.93 beat consensus of ~$2.91, Red Hat re-accelerated to 11% growth sequentially, Distributed Infrastructure posted its best quarter in history (+37%), and operating pre-tax margin expanded 30bps</w:t>
      </w:r>
      <w:r>
        <w:rPr>
          <w:rFonts w:ascii="Calibri" w:hAnsi="Calibri"/>
          <w:color w:val="525866"/>
          <w:sz w:val="22"/>
        </w:rPr>
        <w:t xml:space="preserve"> — demonstrating that the underlying portfolio transformation remains intact even as the top line disappointed. The stock has already absorbed a severe de-rating, falling ~27% from its June 2 peak of $329 to ~$210 as of July 21, so the bar for the call is low: investors need to hear a credible path to full-year guidance, clarity on whether the Z shortfall is a timing issue or a structural demand problem, and any signal on M&amp;A or capital allocation. </w:t>
      </w:r>
      <w:r>
        <w:rPr>
          <w:rFonts w:ascii="Calibri" w:hAnsi="Calibri"/>
          <w:b/>
          <w:color w:val="525866"/>
          <w:sz w:val="22"/>
        </w:rPr>
        <w:t>The single biggest wildcard is whether management revises full-year guidance down materially or holds the line</w:t>
      </w:r>
      <w:r>
        <w:rPr>
          <w:rFonts w:ascii="Calibri" w:hAnsi="Calibri"/>
          <w:color w:val="525866"/>
          <w:sz w:val="22"/>
        </w:rPr>
        <w:t xml:space="preserve"> — a guidance cut would likely pressure the stock further, while a credible hold with specific deal-closure evidence could stabilize sentiment heading into H2.</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The pre-announced Q2 revenue of $17.2B missed consensus by ~$1.2B (~1.2%), with Software and Infrastructure both below expectations. Operating EPS of $2.93 was a slight beat vs. $2.91 consensus. The bigger swing factor heading into the call is whether the Z/Transaction Processing shortfall is a one-quarter timing issue or signals a more durable demand problem.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Pre-Announced /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$15.92B</w:t>
            </w:r>
          </w:p>
        </w:tc>
        <w:tc>
          <w:tcPr>
            <w:tcW w:type="dxa" w:w="1234"/>
          </w:tcPr>
          <w:p>
            <w:r>
              <w:rPr>
                <w:rFonts w:ascii="Calibri" w:hAnsi="Calibri"/>
                <w:sz w:val="22"/>
              </w:rPr>
              <w:t>$16.98B</w:t>
            </w:r>
          </w:p>
        </w:tc>
        <w:tc>
          <w:tcPr>
            <w:tcW w:type="dxa" w:w="1234"/>
          </w:tcPr>
          <w:p>
            <w:r>
              <w:rPr>
                <w:rFonts w:ascii="Calibri" w:hAnsi="Calibri"/>
                <w:sz w:val="22"/>
              </w:rPr>
              <w:t>$17.2B (pre-ann.) / $17.43B (cons.)</w:t>
            </w:r>
          </w:p>
        </w:tc>
        <w:tc>
          <w:tcPr>
            <w:tcW w:type="dxa" w:w="1234"/>
          </w:tcPr>
          <w:p>
            <w:r>
              <w:rPr>
                <w:rFonts w:ascii="Calibri" w:hAnsi="Calibri"/>
                <w:sz w:val="22"/>
              </w:rPr>
              <w:t>+1.3% YoY</w:t>
            </w:r>
          </w:p>
        </w:tc>
        <w:tc>
          <w:tcPr>
            <w:tcW w:type="dxa" w:w="1234"/>
          </w:tcPr>
          <w:p>
            <w:r>
              <w:rPr>
                <w:rFonts w:ascii="Calibri" w:hAnsi="Calibri"/>
                <w:sz w:val="22"/>
              </w:rPr>
              <w:t>~5%+ CC growth (similar to FY rate)</w:t>
            </w:r>
          </w:p>
        </w:tc>
        <w:tc>
          <w:tcPr>
            <w:tcW w:type="dxa" w:w="1234"/>
          </w:tcPr>
          <w:p>
            <w:r>
              <w:rPr>
                <w:rFonts w:ascii="Calibri" w:hAnsi="Calibri"/>
                <w:sz w:val="22"/>
              </w:rPr>
              <w:t>Pre-ann. ~2% below cons.</w:t>
            </w:r>
          </w:p>
        </w:tc>
      </w:tr>
      <w:tr>
        <w:tc>
          <w:tcPr>
            <w:tcW w:type="dxa" w:w="1234"/>
          </w:tcPr>
          <w:p>
            <w:r>
              <w:rPr>
                <w:rFonts w:ascii="Calibri" w:hAnsi="Calibri"/>
                <w:sz w:val="22"/>
              </w:rPr>
              <w:t>Software Revenue ($B)</w:t>
            </w:r>
          </w:p>
        </w:tc>
        <w:tc>
          <w:tcPr>
            <w:tcW w:type="dxa" w:w="1234"/>
          </w:tcPr>
          <w:p>
            <w:r>
              <w:rPr>
                <w:rFonts w:ascii="Calibri" w:hAnsi="Calibri"/>
                <w:sz w:val="22"/>
              </w:rPr>
              <w:t>$7.05B</w:t>
            </w:r>
          </w:p>
        </w:tc>
        <w:tc>
          <w:tcPr>
            <w:tcW w:type="dxa" w:w="1234"/>
          </w:tcPr>
          <w:p>
            <w:r>
              <w:rPr>
                <w:rFonts w:ascii="Calibri" w:hAnsi="Calibri"/>
                <w:sz w:val="22"/>
              </w:rPr>
              <w:t>$7.39B</w:t>
            </w:r>
          </w:p>
        </w:tc>
        <w:tc>
          <w:tcPr>
            <w:tcW w:type="dxa" w:w="1234"/>
          </w:tcPr>
          <w:p>
            <w:r>
              <w:rPr>
                <w:rFonts w:ascii="Calibri" w:hAnsi="Calibri"/>
                <w:sz w:val="22"/>
              </w:rPr>
              <w:t>~$7.74B (pre-ann. +5%) / $7.94B (cons.)</w:t>
            </w:r>
          </w:p>
        </w:tc>
        <w:tc>
          <w:tcPr>
            <w:tcW w:type="dxa" w:w="1234"/>
          </w:tcPr>
          <w:p>
            <w:r>
              <w:rPr>
                <w:rFonts w:ascii="Calibri" w:hAnsi="Calibri"/>
                <w:sz w:val="22"/>
              </w:rPr>
              <w:t>+4.7% YoY</w:t>
            </w:r>
          </w:p>
        </w:tc>
        <w:tc>
          <w:tcPr>
            <w:tcW w:type="dxa" w:w="1234"/>
          </w:tcPr>
          <w:p>
            <w:r>
              <w:rPr>
                <w:rFonts w:ascii="Calibri" w:hAnsi="Calibri"/>
                <w:sz w:val="22"/>
              </w:rPr>
              <w:t>10%+ FY growth; Q2 similar to FY rate</w:t>
            </w:r>
          </w:p>
        </w:tc>
        <w:tc>
          <w:tcPr>
            <w:tcW w:type="dxa" w:w="1234"/>
          </w:tcPr>
          <w:p>
            <w:r>
              <w:rPr>
                <w:rFonts w:ascii="Calibri" w:hAnsi="Calibri"/>
                <w:sz w:val="22"/>
              </w:rPr>
              <w:t>Pre-ann. ~2.5% below cons.</w:t>
            </w:r>
          </w:p>
        </w:tc>
      </w:tr>
      <w:tr>
        <w:tc>
          <w:tcPr>
            <w:tcW w:type="dxa" w:w="1234"/>
          </w:tcPr>
          <w:p>
            <w:r>
              <w:rPr>
                <w:rFonts w:ascii="Calibri" w:hAnsi="Calibri"/>
                <w:sz w:val="22"/>
              </w:rPr>
              <w:t>Consulting Revenue ($B)</w:t>
            </w:r>
          </w:p>
        </w:tc>
        <w:tc>
          <w:tcPr>
            <w:tcW w:type="dxa" w:w="1234"/>
          </w:tcPr>
          <w:p>
            <w:r>
              <w:rPr>
                <w:rFonts w:ascii="Calibri" w:hAnsi="Calibri"/>
                <w:sz w:val="22"/>
              </w:rPr>
              <w:t>$5.27B</w:t>
            </w:r>
          </w:p>
        </w:tc>
        <w:tc>
          <w:tcPr>
            <w:tcW w:type="dxa" w:w="1234"/>
          </w:tcPr>
          <w:p>
            <w:r>
              <w:rPr>
                <w:rFonts w:ascii="Calibri" w:hAnsi="Calibri"/>
                <w:sz w:val="22"/>
              </w:rPr>
              <w:t>$5.31B</w:t>
            </w:r>
          </w:p>
        </w:tc>
        <w:tc>
          <w:tcPr>
            <w:tcW w:type="dxa" w:w="1234"/>
          </w:tcPr>
          <w:p>
            <w:r>
              <w:rPr>
                <w:rFonts w:ascii="Calibri" w:hAnsi="Calibri"/>
                <w:sz w:val="22"/>
              </w:rPr>
              <w:t>~$5.31B (pre-ann. flat) / $5.38B (cons.)</w:t>
            </w:r>
          </w:p>
        </w:tc>
        <w:tc>
          <w:tcPr>
            <w:tcW w:type="dxa" w:w="1234"/>
          </w:tcPr>
          <w:p>
            <w:r>
              <w:rPr>
                <w:rFonts w:ascii="Calibri" w:hAnsi="Calibri"/>
                <w:sz w:val="22"/>
              </w:rPr>
              <w:t>Flat YoY (+1% CC)</w:t>
            </w:r>
          </w:p>
        </w:tc>
        <w:tc>
          <w:tcPr>
            <w:tcW w:type="dxa" w:w="1234"/>
          </w:tcPr>
          <w:p>
            <w:r>
              <w:rPr>
                <w:rFonts w:ascii="Calibri" w:hAnsi="Calibri"/>
                <w:sz w:val="22"/>
              </w:rPr>
              <w:t>Low-to-mid single digit FY growth</w:t>
            </w:r>
          </w:p>
        </w:tc>
        <w:tc>
          <w:tcPr>
            <w:tcW w:type="dxa" w:w="1234"/>
          </w:tcPr>
          <w:p>
            <w:r>
              <w:rPr>
                <w:rFonts w:ascii="Calibri" w:hAnsi="Calibri"/>
                <w:sz w:val="22"/>
              </w:rPr>
              <w:t>Pre-ann. ~1.3% below cons.</w:t>
            </w:r>
          </w:p>
        </w:tc>
      </w:tr>
      <w:tr>
        <w:tc>
          <w:tcPr>
            <w:tcW w:type="dxa" w:w="1234"/>
          </w:tcPr>
          <w:p>
            <w:r>
              <w:rPr>
                <w:rFonts w:ascii="Calibri" w:hAnsi="Calibri"/>
                <w:sz w:val="22"/>
              </w:rPr>
              <w:t>Infrastructure Revenue ($B)</w:t>
            </w:r>
          </w:p>
        </w:tc>
        <w:tc>
          <w:tcPr>
            <w:tcW w:type="dxa" w:w="1234"/>
          </w:tcPr>
          <w:p>
            <w:r>
              <w:rPr>
                <w:rFonts w:ascii="Calibri" w:hAnsi="Calibri"/>
                <w:sz w:val="22"/>
              </w:rPr>
              <w:t>$3.33B</w:t>
            </w:r>
          </w:p>
        </w:tc>
        <w:tc>
          <w:tcPr>
            <w:tcW w:type="dxa" w:w="1234"/>
          </w:tcPr>
          <w:p>
            <w:r>
              <w:rPr>
                <w:rFonts w:ascii="Calibri" w:hAnsi="Calibri"/>
                <w:sz w:val="22"/>
              </w:rPr>
              <w:t>$4.14B</w:t>
            </w:r>
          </w:p>
        </w:tc>
        <w:tc>
          <w:tcPr>
            <w:tcW w:type="dxa" w:w="1234"/>
          </w:tcPr>
          <w:p>
            <w:r>
              <w:rPr>
                <w:rFonts w:ascii="Calibri" w:hAnsi="Calibri"/>
                <w:sz w:val="22"/>
              </w:rPr>
              <w:t>~$3.85B (pre-ann. -7%) / $3.91B (cons.)</w:t>
            </w:r>
          </w:p>
        </w:tc>
        <w:tc>
          <w:tcPr>
            <w:tcW w:type="dxa" w:w="1234"/>
          </w:tcPr>
          <w:p>
            <w:r>
              <w:rPr>
                <w:rFonts w:ascii="Calibri" w:hAnsi="Calibri"/>
                <w:sz w:val="22"/>
              </w:rPr>
              <w:t>-7.0% YoY</w:t>
            </w:r>
          </w:p>
        </w:tc>
        <w:tc>
          <w:tcPr>
            <w:tcW w:type="dxa" w:w="1234"/>
          </w:tcPr>
          <w:p>
            <w:r>
              <w:rPr>
                <w:rFonts w:ascii="Calibri" w:hAnsi="Calibri"/>
                <w:sz w:val="22"/>
              </w:rPr>
              <w:t>Down low-single digits FY; ~0.5pt IBM impact</w:t>
            </w:r>
          </w:p>
        </w:tc>
        <w:tc>
          <w:tcPr>
            <w:tcW w:type="dxa" w:w="1234"/>
          </w:tcPr>
          <w:p>
            <w:r>
              <w:rPr>
                <w:rFonts w:ascii="Calibri" w:hAnsi="Calibri"/>
                <w:sz w:val="22"/>
              </w:rPr>
              <w:t>Pre-ann. ~1.5% below cons.</w:t>
            </w:r>
          </w:p>
        </w:tc>
      </w:tr>
      <w:tr>
        <w:tc>
          <w:tcPr>
            <w:tcW w:type="dxa" w:w="1234"/>
          </w:tcPr>
          <w:p>
            <w:r>
              <w:rPr>
                <w:rFonts w:ascii="Calibri" w:hAnsi="Calibri"/>
                <w:sz w:val="22"/>
              </w:rPr>
              <w:t>EPS — Diluted Operating ($)</w:t>
            </w:r>
          </w:p>
        </w:tc>
        <w:tc>
          <w:tcPr>
            <w:tcW w:type="dxa" w:w="1234"/>
          </w:tcPr>
          <w:p>
            <w:r>
              <w:rPr>
                <w:rFonts w:ascii="Calibri" w:hAnsi="Calibri"/>
                <w:sz w:val="22"/>
              </w:rPr>
              <w:t>$1.91</w:t>
            </w:r>
          </w:p>
        </w:tc>
        <w:tc>
          <w:tcPr>
            <w:tcW w:type="dxa" w:w="1234"/>
          </w:tcPr>
          <w:p>
            <w:r>
              <w:rPr>
                <w:rFonts w:ascii="Calibri" w:hAnsi="Calibri"/>
                <w:sz w:val="22"/>
              </w:rPr>
              <w:t>$2.80</w:t>
            </w:r>
          </w:p>
        </w:tc>
        <w:tc>
          <w:tcPr>
            <w:tcW w:type="dxa" w:w="1234"/>
          </w:tcPr>
          <w:p>
            <w:r>
              <w:rPr>
                <w:rFonts w:ascii="Calibri" w:hAnsi="Calibri"/>
                <w:sz w:val="22"/>
              </w:rPr>
              <w:t>$2.93 (pre-ann.) / $2.91 (cons.)</w:t>
            </w:r>
          </w:p>
        </w:tc>
        <w:tc>
          <w:tcPr>
            <w:tcW w:type="dxa" w:w="1234"/>
          </w:tcPr>
          <w:p>
            <w:r>
              <w:rPr>
                <w:rFonts w:ascii="Calibri" w:hAnsi="Calibri"/>
                <w:sz w:val="22"/>
              </w:rPr>
              <w:t>+4.6% YoY</w:t>
            </w:r>
          </w:p>
        </w:tc>
        <w:tc>
          <w:tcPr>
            <w:tcW w:type="dxa" w:w="1234"/>
          </w:tcPr>
          <w:p>
            <w:r>
              <w:rPr>
                <w:rFonts w:ascii="Calibri" w:hAnsi="Calibri"/>
                <w:sz w:val="22"/>
              </w:rPr>
              <w:t>~50bps op. PTI margin expansion Q2</w:t>
            </w:r>
          </w:p>
        </w:tc>
        <w:tc>
          <w:tcPr>
            <w:tcW w:type="dxa" w:w="1234"/>
          </w:tcPr>
          <w:p>
            <w:r>
              <w:rPr>
                <w:rFonts w:ascii="Calibri" w:hAnsi="Calibri"/>
                <w:sz w:val="22"/>
              </w:rPr>
              <w:t>Pre-ann. ~+0.7% above cons.</w:t>
            </w:r>
          </w:p>
        </w:tc>
      </w:tr>
      <w:tr>
        <w:tc>
          <w:tcPr>
            <w:tcW w:type="dxa" w:w="1234"/>
          </w:tcPr>
          <w:p>
            <w:r>
              <w:rPr>
                <w:rFonts w:ascii="Calibri" w:hAnsi="Calibri"/>
                <w:sz w:val="22"/>
              </w:rPr>
              <w:t>Gross Margin — Operating (%)</w:t>
            </w:r>
          </w:p>
        </w:tc>
        <w:tc>
          <w:tcPr>
            <w:tcW w:type="dxa" w:w="1234"/>
          </w:tcPr>
          <w:p>
            <w:r>
              <w:rPr>
                <w:rFonts w:ascii="Calibri" w:hAnsi="Calibri"/>
                <w:sz w:val="22"/>
              </w:rPr>
              <w:t>56.2%</w:t>
            </w:r>
          </w:p>
        </w:tc>
        <w:tc>
          <w:tcPr>
            <w:tcW w:type="dxa" w:w="1234"/>
          </w:tcPr>
          <w:p>
            <w:r>
              <w:rPr>
                <w:rFonts w:ascii="Calibri" w:hAnsi="Calibri"/>
                <w:sz w:val="22"/>
              </w:rPr>
              <w:t>58.8%</w:t>
            </w:r>
          </w:p>
        </w:tc>
        <w:tc>
          <w:tcPr>
            <w:tcW w:type="dxa" w:w="1234"/>
          </w:tcPr>
          <w:p>
            <w:r>
              <w:rPr>
                <w:rFonts w:ascii="Calibri" w:hAnsi="Calibri"/>
                <w:sz w:val="22"/>
              </w:rPr>
              <w:t>59.4% (pre-ann.) / 58.4% (cons.)</w:t>
            </w:r>
          </w:p>
        </w:tc>
        <w:tc>
          <w:tcPr>
            <w:tcW w:type="dxa" w:w="1234"/>
          </w:tcPr>
          <w:p>
            <w:r>
              <w:rPr>
                <w:rFonts w:ascii="Calibri" w:hAnsi="Calibri"/>
                <w:sz w:val="22"/>
              </w:rPr>
              <w:t>-70bps YoY (Non-GAAP)</w:t>
            </w:r>
          </w:p>
        </w:tc>
        <w:tc>
          <w:tcPr>
            <w:tcW w:type="dxa" w:w="1234"/>
          </w:tcPr>
          <w:p>
            <w:r>
              <w:rPr>
                <w:rFonts w:ascii="Calibri" w:hAnsi="Calibri"/>
                <w:sz w:val="22"/>
              </w:rPr>
              <w:t>N/A (not explicitly guided)</w:t>
            </w:r>
          </w:p>
        </w:tc>
        <w:tc>
          <w:tcPr>
            <w:tcW w:type="dxa" w:w="1234"/>
          </w:tcPr>
          <w:p>
            <w:r>
              <w:rPr>
                <w:rFonts w:ascii="Calibri" w:hAnsi="Calibri"/>
                <w:sz w:val="22"/>
              </w:rPr>
              <w:t>Pre-ann. ~+100bps above cons.</w:t>
            </w:r>
          </w:p>
        </w:tc>
      </w:tr>
      <w:tr>
        <w:tc>
          <w:tcPr>
            <w:tcW w:type="dxa" w:w="1234"/>
          </w:tcPr>
          <w:p>
            <w:r>
              <w:rPr>
                <w:rFonts w:ascii="Calibri" w:hAnsi="Calibri"/>
                <w:sz w:val="22"/>
              </w:rPr>
              <w:t>Free Cash Flow ($B, YTD H1)</w:t>
            </w:r>
          </w:p>
        </w:tc>
        <w:tc>
          <w:tcPr>
            <w:tcW w:type="dxa" w:w="1234"/>
          </w:tcPr>
          <w:p>
            <w:r>
              <w:rPr>
                <w:rFonts w:ascii="Calibri" w:hAnsi="Calibri"/>
                <w:sz w:val="22"/>
              </w:rPr>
              <w:t>$2.22B (Q1 only)</w:t>
            </w:r>
          </w:p>
        </w:tc>
        <w:tc>
          <w:tcPr>
            <w:tcW w:type="dxa" w:w="1234"/>
          </w:tcPr>
          <w:p>
            <w:r>
              <w:rPr>
                <w:rFonts w:ascii="Calibri" w:hAnsi="Calibri"/>
                <w:sz w:val="22"/>
              </w:rPr>
              <w:t>$2.85B (Q2 2025)</w:t>
            </w:r>
          </w:p>
        </w:tc>
        <w:tc>
          <w:tcPr>
            <w:tcW w:type="dxa" w:w="1234"/>
          </w:tcPr>
          <w:p>
            <w:r>
              <w:rPr>
                <w:rFonts w:ascii="Calibri" w:hAnsi="Calibri"/>
                <w:sz w:val="22"/>
              </w:rPr>
              <w:t>$4.76B YTD (pre-ann.) / $2.80B Q2 (cons.)</w:t>
            </w:r>
          </w:p>
        </w:tc>
        <w:tc>
          <w:tcPr>
            <w:tcW w:type="dxa" w:w="1234"/>
          </w:tcPr>
          <w:p>
            <w:r>
              <w:rPr>
                <w:rFonts w:ascii="Calibri" w:hAnsi="Calibri"/>
                <w:sz w:val="22"/>
              </w:rPr>
              <w:t>YTD FCF tracking to ~$15.7B FY target</w:t>
            </w:r>
          </w:p>
        </w:tc>
        <w:tc>
          <w:tcPr>
            <w:tcW w:type="dxa" w:w="1234"/>
          </w:tcPr>
          <w:p>
            <w:r>
              <w:rPr>
                <w:rFonts w:ascii="Calibri" w:hAnsi="Calibri"/>
                <w:sz w:val="22"/>
              </w:rPr>
              <w:t>~$15.7B FY 2026 (~$1B YoY growth)</w:t>
            </w:r>
          </w:p>
        </w:tc>
        <w:tc>
          <w:tcPr>
            <w:tcW w:type="dxa" w:w="1234"/>
          </w:tcPr>
          <w:p>
            <w:r>
              <w:rPr>
                <w:rFonts w:ascii="Calibri" w:hAnsi="Calibri"/>
                <w:sz w:val="22"/>
              </w:rPr>
              <w:t>Q2 cons. ~$2.80B vs. $2.54B pre-ann. Q2 implied</w:t>
            </w:r>
          </w:p>
        </w:tc>
      </w:tr>
    </w:tbl>
    <w:p>
      <w:r>
        <w:rPr>
          <w:rFonts w:ascii="Calibri" w:hAnsi="Calibri"/>
          <w:b/>
          <w:color w:val="525866"/>
          <w:sz w:val="22"/>
        </w:rPr>
        <w:t xml:space="preserve">Sources: </w:t>
      </w:r>
      <w:r>
        <w:rPr>
          <w:rFonts w:ascii="Calibri" w:hAnsi="Calibri"/>
          <w:color w:val="525866"/>
          <w:sz w:val="22"/>
        </w:rPr>
        <w:t>Q2 2026 pre-announced figures from IBM 8-K / Arvind Krishna investor letter dated July 14, 2026. Q1 2026 actuals and Q2 2025 actuals from Visible Alpha. Consensus estimates from Visible Alpha as of April 27, 2026 (post-Q1 baseline). Q2 2026 pre-announced revenue and EPS are preliminary; final figures to be confirmed on July 22, 2026 call. Gross margin (Operating/Non-GAAP) of 59.4% and Operating PTI margin of 19.2% (+30bps YoY) from IBM pre-announcement. YTD FCF of $4.76B from IBM pre-announcement (H1 2026).</w:t>
      </w:r>
    </w:p>
    <w:p>
      <w:pPr>
        <w:pStyle w:val="Heading3"/>
      </w:pPr>
      <w:r>
        <w:rPr>
          <w:rFonts w:ascii="Calibri" w:hAnsi="Calibri"/>
          <w:b/>
          <w:color w:val="3B4259"/>
          <w:sz w:val="24"/>
        </w:rPr>
        <w:t>Table 2 — Beat/Miss History (Last 8 Quarters, Top 2 KPIs: Total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$15.77B</w:t>
            </w:r>
          </w:p>
        </w:tc>
        <w:tc>
          <w:tcPr>
            <w:tcW w:type="dxa" w:w="1440"/>
          </w:tcPr>
          <w:p>
            <w:r>
              <w:rPr>
                <w:rFonts w:ascii="Calibri" w:hAnsi="Calibri"/>
                <w:sz w:val="22"/>
              </w:rPr>
              <w:t>$15.63B</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$2.43</w:t>
            </w:r>
          </w:p>
        </w:tc>
        <w:tc>
          <w:tcPr>
            <w:tcW w:type="dxa" w:w="1440"/>
          </w:tcPr>
          <w:p>
            <w:r>
              <w:rPr>
                <w:rFonts w:ascii="Calibri" w:hAnsi="Calibri"/>
                <w:sz w:val="22"/>
              </w:rPr>
              <w:t>$2.18</w:t>
            </w:r>
          </w:p>
        </w:tc>
        <w:tc>
          <w:tcPr>
            <w:tcW w:type="dxa" w:w="1440"/>
          </w:tcPr>
          <w:p>
            <w:r>
              <w:rPr>
                <w:rFonts w:ascii="Calibri" w:hAnsi="Calibri"/>
                <w:sz w:val="22"/>
              </w:rPr>
              <w:t>+11.5%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$14.97B</w:t>
            </w:r>
          </w:p>
        </w:tc>
        <w:tc>
          <w:tcPr>
            <w:tcW w:type="dxa" w:w="1440"/>
          </w:tcPr>
          <w:p>
            <w:r>
              <w:rPr>
                <w:rFonts w:ascii="Calibri" w:hAnsi="Calibri"/>
                <w:sz w:val="22"/>
              </w:rPr>
              <w:t>$15.07B</w:t>
            </w:r>
          </w:p>
        </w:tc>
        <w:tc>
          <w:tcPr>
            <w:tcW w:type="dxa" w:w="1440"/>
          </w:tcPr>
          <w:p>
            <w:r>
              <w:rPr>
                <w:rFonts w:ascii="Calibri" w:hAnsi="Calibri"/>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$2.30</w:t>
            </w:r>
          </w:p>
        </w:tc>
        <w:tc>
          <w:tcPr>
            <w:tcW w:type="dxa" w:w="1440"/>
          </w:tcPr>
          <w:p>
            <w:r>
              <w:rPr>
                <w:rFonts w:ascii="Calibri" w:hAnsi="Calibri"/>
                <w:sz w:val="22"/>
              </w:rPr>
              <w:t>$2.21</w:t>
            </w:r>
          </w:p>
        </w:tc>
        <w:tc>
          <w:tcPr>
            <w:tcW w:type="dxa" w:w="1440"/>
          </w:tcPr>
          <w:p>
            <w:r>
              <w:rPr>
                <w:rFonts w:ascii="Calibri" w:hAnsi="Calibri"/>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$17.55B</w:t>
            </w:r>
          </w:p>
        </w:tc>
        <w:tc>
          <w:tcPr>
            <w:tcW w:type="dxa" w:w="1440"/>
          </w:tcPr>
          <w:p>
            <w:r>
              <w:rPr>
                <w:rFonts w:ascii="Calibri" w:hAnsi="Calibri"/>
                <w:sz w:val="22"/>
              </w:rPr>
              <w:t>$17.55B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$3.92</w:t>
            </w:r>
          </w:p>
        </w:tc>
        <w:tc>
          <w:tcPr>
            <w:tcW w:type="dxa" w:w="1440"/>
          </w:tcPr>
          <w:p>
            <w:r>
              <w:rPr>
                <w:rFonts w:ascii="Calibri" w:hAnsi="Calibri"/>
                <w:sz w:val="22"/>
              </w:rPr>
              <w:t>$3.79</w:t>
            </w:r>
          </w:p>
        </w:tc>
        <w:tc>
          <w:tcPr>
            <w:tcW w:type="dxa" w:w="1440"/>
          </w:tcPr>
          <w:p>
            <w:r>
              <w:rPr>
                <w:rFonts w:ascii="Calibri" w:hAnsi="Calibri"/>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$14.54B</w:t>
            </w:r>
          </w:p>
        </w:tc>
        <w:tc>
          <w:tcPr>
            <w:tcW w:type="dxa" w:w="1440"/>
          </w:tcPr>
          <w:p>
            <w:r>
              <w:rPr>
                <w:rFonts w:ascii="Calibri" w:hAnsi="Calibri"/>
                <w:sz w:val="22"/>
              </w:rPr>
              <w:t>$14.41B</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$1.60</w:t>
            </w:r>
          </w:p>
        </w:tc>
        <w:tc>
          <w:tcPr>
            <w:tcW w:type="dxa" w:w="1440"/>
          </w:tcPr>
          <w:p>
            <w:r>
              <w:rPr>
                <w:rFonts w:ascii="Calibri" w:hAnsi="Calibri"/>
                <w:sz w:val="22"/>
              </w:rPr>
              <w:t>$1.40</w:t>
            </w:r>
          </w:p>
        </w:tc>
        <w:tc>
          <w:tcPr>
            <w:tcW w:type="dxa" w:w="1440"/>
          </w:tcPr>
          <w:p>
            <w:r>
              <w:rPr>
                <w:rFonts w:ascii="Calibri" w:hAnsi="Calibri"/>
                <w:sz w:val="22"/>
              </w:rPr>
              <w:t>+14.3%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$16.98B</w:t>
            </w:r>
          </w:p>
        </w:tc>
        <w:tc>
          <w:tcPr>
            <w:tcW w:type="dxa" w:w="1440"/>
          </w:tcPr>
          <w:p>
            <w:r>
              <w:rPr>
                <w:rFonts w:ascii="Calibri" w:hAnsi="Calibri"/>
                <w:sz w:val="22"/>
              </w:rPr>
              <w:t>$16.58B</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$2.80</w:t>
            </w:r>
          </w:p>
        </w:tc>
        <w:tc>
          <w:tcPr>
            <w:tcW w:type="dxa" w:w="1440"/>
          </w:tcPr>
          <w:p>
            <w:r>
              <w:rPr>
                <w:rFonts w:ascii="Calibri" w:hAnsi="Calibri"/>
                <w:sz w:val="22"/>
              </w:rPr>
              <w:t>$2.63</w:t>
            </w:r>
          </w:p>
        </w:tc>
        <w:tc>
          <w:tcPr>
            <w:tcW w:type="dxa" w:w="1440"/>
          </w:tcPr>
          <w:p>
            <w:r>
              <w:rPr>
                <w:rFonts w:ascii="Calibri" w:hAnsi="Calibri"/>
                <w:sz w:val="22"/>
              </w:rPr>
              <w:t>+6.3%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$16.33B</w:t>
            </w:r>
          </w:p>
        </w:tc>
        <w:tc>
          <w:tcPr>
            <w:tcW w:type="dxa" w:w="1440"/>
          </w:tcPr>
          <w:p>
            <w:r>
              <w:rPr>
                <w:rFonts w:ascii="Calibri" w:hAnsi="Calibri"/>
                <w:sz w:val="22"/>
              </w:rPr>
              <w:t>$16.10B</w:t>
            </w:r>
          </w:p>
        </w:tc>
        <w:tc>
          <w:tcPr>
            <w:tcW w:type="dxa" w:w="1440"/>
          </w:tcPr>
          <w:p>
            <w:r>
              <w:rPr>
                <w:rFonts w:ascii="Calibri" w:hAnsi="Calibri"/>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$2.65</w:t>
            </w:r>
          </w:p>
        </w:tc>
        <w:tc>
          <w:tcPr>
            <w:tcW w:type="dxa" w:w="1440"/>
          </w:tcPr>
          <w:p>
            <w:r>
              <w:rPr>
                <w:rFonts w:ascii="Calibri" w:hAnsi="Calibri"/>
                <w:sz w:val="22"/>
              </w:rPr>
              <w:t>$2.44</w:t>
            </w:r>
          </w:p>
        </w:tc>
        <w:tc>
          <w:tcPr>
            <w:tcW w:type="dxa" w:w="1440"/>
          </w:tcPr>
          <w:p>
            <w:r>
              <w:rPr>
                <w:rFonts w:ascii="Calibri" w:hAnsi="Calibri"/>
                <w:sz w:val="22"/>
              </w:rPr>
              <w:t>+8.6%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$19.69B</w:t>
            </w:r>
          </w:p>
        </w:tc>
        <w:tc>
          <w:tcPr>
            <w:tcW w:type="dxa" w:w="1440"/>
          </w:tcPr>
          <w:p>
            <w:r>
              <w:rPr>
                <w:rFonts w:ascii="Calibri" w:hAnsi="Calibri"/>
                <w:sz w:val="22"/>
              </w:rPr>
              <w:t>$19.21B</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$4.52</w:t>
            </w:r>
          </w:p>
        </w:tc>
        <w:tc>
          <w:tcPr>
            <w:tcW w:type="dxa" w:w="1440"/>
          </w:tcPr>
          <w:p>
            <w:r>
              <w:rPr>
                <w:rFonts w:ascii="Calibri" w:hAnsi="Calibri"/>
                <w:sz w:val="22"/>
              </w:rPr>
              <w:t>$4.30</w:t>
            </w:r>
          </w:p>
        </w:tc>
        <w:tc>
          <w:tcPr>
            <w:tcW w:type="dxa" w:w="1440"/>
          </w:tcPr>
          <w:p>
            <w:r>
              <w:rPr>
                <w:rFonts w:ascii="Calibri" w:hAnsi="Calibri"/>
                <w:sz w:val="22"/>
              </w:rPr>
              <w:t>+5.1%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$15.92B</w:t>
            </w:r>
          </w:p>
        </w:tc>
        <w:tc>
          <w:tcPr>
            <w:tcW w:type="dxa" w:w="1440"/>
          </w:tcPr>
          <w:p>
            <w:r>
              <w:rPr>
                <w:rFonts w:ascii="Calibri" w:hAnsi="Calibri"/>
                <w:sz w:val="22"/>
              </w:rPr>
              <w:t>$15.70B</w:t>
            </w:r>
          </w:p>
        </w:tc>
        <w:tc>
          <w:tcPr>
            <w:tcW w:type="dxa" w:w="1440"/>
          </w:tcPr>
          <w:p>
            <w:r>
              <w:rPr>
                <w:rFonts w:ascii="Calibri" w:hAnsi="Calibri"/>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$1.91</w:t>
            </w:r>
          </w:p>
        </w:tc>
        <w:tc>
          <w:tcPr>
            <w:tcW w:type="dxa" w:w="1440"/>
          </w:tcPr>
          <w:p>
            <w:r>
              <w:rPr>
                <w:rFonts w:ascii="Calibri" w:hAnsi="Calibri"/>
                <w:sz w:val="22"/>
              </w:rPr>
              <w:t>$1.80</w:t>
            </w:r>
          </w:p>
        </w:tc>
        <w:tc>
          <w:tcPr>
            <w:tcW w:type="dxa" w:w="1440"/>
          </w:tcPr>
          <w:p>
            <w:r>
              <w:rPr>
                <w:rFonts w:ascii="Calibri" w:hAnsi="Calibri"/>
                <w:sz w:val="22"/>
              </w:rPr>
              <w:t>+6.1%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IBM has beaten on Operating EPS in 7 of the last 8 quarters with an average surprise of ~7%, and beaten on revenue in 6 of 8 quarters — making Q2 2026's pre-announced revenue miss the first meaningful top-line shortfall in recent history and a notable break from the established pattern.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IBM's Q2 2026 pre-announcement on July 14 effectively superseded the Q1 call guidance — the company acknowledged a performance shortfall and deferred full-year guidance revision to the July 22 call. The tone has shifted from confident to defensive, with management explicitly admitting execution failure.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22)</w:t>
            </w:r>
          </w:p>
        </w:tc>
        <w:tc>
          <w:tcPr>
            <w:tcW w:type="dxa" w:w="1728"/>
            <w:shd w:val="clear" w:color="auto" w:fill="3B4259"/>
          </w:tcPr>
          <w:p>
            <w:r>
              <w:rPr>
                <w:rFonts w:ascii="Calibri" w:hAnsi="Calibri"/>
                <w:b/>
                <w:color w:val="FFFFFF"/>
                <w:sz w:val="22"/>
              </w:rPr>
              <w:t>Revised Guidance / Pre-Announcement (Jul 14)</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 (CC)</w:t>
            </w:r>
          </w:p>
        </w:tc>
        <w:tc>
          <w:tcPr>
            <w:tcW w:type="dxa" w:w="1728"/>
          </w:tcPr>
          <w:p>
            <w:r>
              <w:rPr>
                <w:rFonts w:ascii="Calibri" w:hAnsi="Calibri"/>
                <w:sz w:val="22"/>
              </w:rPr>
              <w:t>5%+ constant currency</w:t>
            </w:r>
          </w:p>
        </w:tc>
        <w:tc>
          <w:tcPr>
            <w:tcW w:type="dxa" w:w="1728"/>
          </w:tcPr>
          <w:p>
            <w:r>
              <w:rPr>
                <w:rFonts w:ascii="Calibri" w:hAnsi="Calibri"/>
                <w:sz w:val="22"/>
              </w:rPr>
              <w:t>Not revised; full-year expectations deferred to Jul 22 call</w:t>
            </w:r>
          </w:p>
        </w:tc>
        <w:tc>
          <w:tcPr>
            <w:tcW w:type="dxa" w:w="1728"/>
          </w:tcPr>
          <w:p>
            <w:r>
              <w:rPr>
                <w:rFonts w:ascii="Calibri" w:hAnsi="Calibri"/>
                <w:sz w:val="22"/>
              </w:rPr>
              <w:t>$70.49B (~4.5% growth implied)</w:t>
            </w:r>
          </w:p>
        </w:tc>
        <w:tc>
          <w:tcPr>
            <w:tcW w:type="dxa" w:w="1728"/>
          </w:tcPr>
          <w:p>
            <w:r>
              <w:rPr>
                <w:rFonts w:ascii="Calibri" w:hAnsi="Calibri"/>
                <w:sz w:val="22"/>
              </w:rPr>
              <w:t>↓ Consensus has moved below initial guidance range; market pricing in a cut at Jul 22 call</w:t>
            </w:r>
          </w:p>
        </w:tc>
      </w:tr>
      <w:tr>
        <w:tc>
          <w:tcPr>
            <w:tcW w:type="dxa" w:w="1728"/>
          </w:tcPr>
          <w:p>
            <w:r>
              <w:rPr>
                <w:rFonts w:ascii="Calibri" w:hAnsi="Calibri"/>
                <w:sz w:val="22"/>
              </w:rPr>
              <w:t>Q2 2026 Revenue Growth (CC)</w:t>
            </w:r>
          </w:p>
        </w:tc>
        <w:tc>
          <w:tcPr>
            <w:tcW w:type="dxa" w:w="1728"/>
          </w:tcPr>
          <w:p>
            <w:r>
              <w:rPr>
                <w:rFonts w:ascii="Calibri" w:hAnsi="Calibri"/>
                <w:sz w:val="22"/>
              </w:rPr>
              <w:t>Similar to FY rate (~5%+ CC)</w:t>
            </w:r>
          </w:p>
        </w:tc>
        <w:tc>
          <w:tcPr>
            <w:tcW w:type="dxa" w:w="1728"/>
          </w:tcPr>
          <w:p>
            <w:r>
              <w:rPr>
                <w:rFonts w:ascii="Calibri" w:hAnsi="Calibri"/>
                <w:sz w:val="22"/>
              </w:rPr>
              <w:t>$17.2B reported (+1% as-reported; CC not yet disclosed)</w:t>
            </w:r>
          </w:p>
        </w:tc>
        <w:tc>
          <w:tcPr>
            <w:tcW w:type="dxa" w:w="1728"/>
          </w:tcPr>
          <w:p>
            <w:r>
              <w:rPr>
                <w:rFonts w:ascii="Calibri" w:hAnsi="Calibri"/>
                <w:sz w:val="22"/>
              </w:rPr>
              <w:t>$17.43B (pre-ann. miss)</w:t>
            </w:r>
          </w:p>
        </w:tc>
        <w:tc>
          <w:tcPr>
            <w:tcW w:type="dxa" w:w="1728"/>
          </w:tcPr>
          <w:p>
            <w:r>
              <w:rPr>
                <w:rFonts w:ascii="Calibri" w:hAnsi="Calibri"/>
                <w:sz w:val="22"/>
              </w:rPr>
              <w:t>↓ Significant miss vs. guidance; Z wrap + capex reprioritization + deal slippage cited</w:t>
            </w:r>
          </w:p>
        </w:tc>
      </w:tr>
      <w:tr>
        <w:tc>
          <w:tcPr>
            <w:tcW w:type="dxa" w:w="1728"/>
          </w:tcPr>
          <w:p>
            <w:r>
              <w:rPr>
                <w:rFonts w:ascii="Calibri" w:hAnsi="Calibri"/>
                <w:sz w:val="22"/>
              </w:rPr>
              <w:t>Q2 2026 Op. PTI Margin</w:t>
            </w:r>
          </w:p>
        </w:tc>
        <w:tc>
          <w:tcPr>
            <w:tcW w:type="dxa" w:w="1728"/>
          </w:tcPr>
          <w:p>
            <w:r>
              <w:rPr>
                <w:rFonts w:ascii="Calibri" w:hAnsi="Calibri"/>
                <w:sz w:val="22"/>
              </w:rPr>
              <w:t>~50bps expansion</w:t>
            </w:r>
          </w:p>
        </w:tc>
        <w:tc>
          <w:tcPr>
            <w:tcW w:type="dxa" w:w="1728"/>
          </w:tcPr>
          <w:p>
            <w:r>
              <w:rPr>
                <w:rFonts w:ascii="Calibri" w:hAnsi="Calibri"/>
                <w:sz w:val="22"/>
              </w:rPr>
              <w:t>19.2% (+30bps YoY) — slightly below the ~50bps guided</w:t>
            </w:r>
          </w:p>
        </w:tc>
        <w:tc>
          <w:tcPr>
            <w:tcW w:type="dxa" w:w="1728"/>
          </w:tcPr>
          <w:p>
            <w:r>
              <w:rPr>
                <w:rFonts w:ascii="Calibri" w:hAnsi="Calibri"/>
                <w:sz w:val="22"/>
              </w:rPr>
              <w:t>N/A (pre-ann. provided)</w:t>
            </w:r>
          </w:p>
        </w:tc>
        <w:tc>
          <w:tcPr>
            <w:tcW w:type="dxa" w:w="1728"/>
          </w:tcPr>
          <w:p>
            <w:r>
              <w:rPr>
                <w:rFonts w:ascii="Calibri" w:hAnsi="Calibri"/>
                <w:sz w:val="22"/>
              </w:rPr>
              <w:t>↓ Modest miss on margin expansion; productivity initiatives partially offset revenue shortfall</w:t>
            </w:r>
          </w:p>
        </w:tc>
      </w:tr>
      <w:tr>
        <w:tc>
          <w:tcPr>
            <w:tcW w:type="dxa" w:w="1728"/>
          </w:tcPr>
          <w:p>
            <w:r>
              <w:rPr>
                <w:rFonts w:ascii="Calibri" w:hAnsi="Calibri"/>
                <w:sz w:val="22"/>
              </w:rPr>
              <w:t>FY 2026 Op. PTI Margin</w:t>
            </w:r>
          </w:p>
        </w:tc>
        <w:tc>
          <w:tcPr>
            <w:tcW w:type="dxa" w:w="1728"/>
          </w:tcPr>
          <w:p>
            <w:r>
              <w:rPr>
                <w:rFonts w:ascii="Calibri" w:hAnsi="Calibri"/>
                <w:sz w:val="22"/>
              </w:rPr>
              <w:t>~1pt expansion</w:t>
            </w:r>
          </w:p>
        </w:tc>
        <w:tc>
          <w:tcPr>
            <w:tcW w:type="dxa" w:w="1728"/>
          </w:tcPr>
          <w:p>
            <w:r>
              <w:rPr>
                <w:rFonts w:ascii="Calibri" w:hAnsi="Calibri"/>
                <w:sz w:val="22"/>
              </w:rPr>
              <w:t>Not revised; deferred to Jul 22 call</w:t>
            </w:r>
          </w:p>
        </w:tc>
        <w:tc>
          <w:tcPr>
            <w:tcW w:type="dxa" w:w="1728"/>
          </w:tcPr>
          <w:p>
            <w:r>
              <w:rPr>
                <w:rFonts w:ascii="Calibri" w:hAnsi="Calibri"/>
                <w:sz w:val="22"/>
              </w:rPr>
              <w:t>Consensus tracking ~1pt expansion</w:t>
            </w:r>
          </w:p>
        </w:tc>
        <w:tc>
          <w:tcPr>
            <w:tcW w:type="dxa" w:w="1728"/>
          </w:tcPr>
          <w:p>
            <w:r>
              <w:rPr>
                <w:rFonts w:ascii="Calibri" w:hAnsi="Calibri"/>
                <w:sz w:val="22"/>
              </w:rPr>
              <w:t>Unchanged; productivity savings ($4.5B run-rate) provide buffer</w:t>
            </w:r>
          </w:p>
        </w:tc>
      </w:tr>
      <w:tr>
        <w:tc>
          <w:tcPr>
            <w:tcW w:type="dxa" w:w="1728"/>
          </w:tcPr>
          <w:p>
            <w:r>
              <w:rPr>
                <w:rFonts w:ascii="Calibri" w:hAnsi="Calibri"/>
                <w:sz w:val="22"/>
              </w:rPr>
              <w:t>FY 2026 Free Cash Flow</w:t>
            </w:r>
          </w:p>
        </w:tc>
        <w:tc>
          <w:tcPr>
            <w:tcW w:type="dxa" w:w="1728"/>
          </w:tcPr>
          <w:p>
            <w:r>
              <w:rPr>
                <w:rFonts w:ascii="Calibri" w:hAnsi="Calibri"/>
                <w:sz w:val="22"/>
              </w:rPr>
              <w:t>~$15.7B (~$1B YoY growth)</w:t>
            </w:r>
          </w:p>
        </w:tc>
        <w:tc>
          <w:tcPr>
            <w:tcW w:type="dxa" w:w="1728"/>
          </w:tcPr>
          <w:p>
            <w:r>
              <w:rPr>
                <w:rFonts w:ascii="Calibri" w:hAnsi="Calibri"/>
                <w:sz w:val="22"/>
              </w:rPr>
              <w:t>YTD H1 FCF of $4.76B; on track but Q2 implied FCF (~$2.54B) below prior consensus (~$3.24B)</w:t>
            </w:r>
          </w:p>
        </w:tc>
        <w:tc>
          <w:tcPr>
            <w:tcW w:type="dxa" w:w="1728"/>
          </w:tcPr>
          <w:p>
            <w:r>
              <w:rPr>
                <w:rFonts w:ascii="Calibri" w:hAnsi="Calibri"/>
                <w:sz w:val="22"/>
              </w:rPr>
              <w:t>$15.25B (revised down from $15.87B)</w:t>
            </w:r>
          </w:p>
        </w:tc>
        <w:tc>
          <w:tcPr>
            <w:tcW w:type="dxa" w:w="1728"/>
          </w:tcPr>
          <w:p>
            <w:r>
              <w:rPr>
                <w:rFonts w:ascii="Calibri" w:hAnsi="Calibri"/>
                <w:sz w:val="22"/>
              </w:rPr>
              <w:t>↓ Consensus trimmed; H2 FCF must be ~$10.5B to hit $15.7B target</w:t>
            </w:r>
          </w:p>
        </w:tc>
      </w:tr>
      <w:tr>
        <w:tc>
          <w:tcPr>
            <w:tcW w:type="dxa" w:w="1728"/>
          </w:tcPr>
          <w:p>
            <w:r>
              <w:rPr>
                <w:rFonts w:ascii="Calibri" w:hAnsi="Calibri"/>
                <w:sz w:val="22"/>
              </w:rPr>
              <w:t>Software Revenue Growth (FY)</w:t>
            </w:r>
          </w:p>
        </w:tc>
        <w:tc>
          <w:tcPr>
            <w:tcW w:type="dxa" w:w="1728"/>
          </w:tcPr>
          <w:p>
            <w:r>
              <w:rPr>
                <w:rFonts w:ascii="Calibri" w:hAnsi="Calibri"/>
                <w:sz w:val="22"/>
              </w:rPr>
              <w:t>10%+ growth (raised from prior target at Q1 call)</w:t>
            </w:r>
          </w:p>
        </w:tc>
        <w:tc>
          <w:tcPr>
            <w:tcW w:type="dxa" w:w="1728"/>
          </w:tcPr>
          <w:p>
            <w:r>
              <w:rPr>
                <w:rFonts w:ascii="Calibri" w:hAnsi="Calibri"/>
                <w:sz w:val="22"/>
              </w:rPr>
              <w:t>Q2 Software +5% — below the 10%+ FY run-rate; Transaction Processing drag cited</w:t>
            </w:r>
          </w:p>
        </w:tc>
        <w:tc>
          <w:tcPr>
            <w:tcW w:type="dxa" w:w="1728"/>
          </w:tcPr>
          <w:p>
            <w:r>
              <w:rPr>
                <w:rFonts w:ascii="Calibri" w:hAnsi="Calibri"/>
                <w:sz w:val="22"/>
              </w:rPr>
              <w:t>$32.69B (~8.5% growth)</w:t>
            </w:r>
          </w:p>
        </w:tc>
        <w:tc>
          <w:tcPr>
            <w:tcW w:type="dxa" w:w="1728"/>
          </w:tcPr>
          <w:p>
            <w:r>
              <w:rPr>
                <w:rFonts w:ascii="Calibri" w:hAnsi="Calibri"/>
                <w:sz w:val="22"/>
              </w:rPr>
              <w:t>↓ Consensus now below the 10%+ target; key debate for Jul 22 call</w:t>
            </w:r>
          </w:p>
        </w:tc>
      </w:tr>
      <w:tr>
        <w:tc>
          <w:tcPr>
            <w:tcW w:type="dxa" w:w="1728"/>
          </w:tcPr>
          <w:p>
            <w:r>
              <w:rPr>
                <w:rFonts w:ascii="Calibri" w:hAnsi="Calibri"/>
                <w:sz w:val="22"/>
              </w:rPr>
              <w:t>Infrastructure Revenue (FY)</w:t>
            </w:r>
          </w:p>
        </w:tc>
        <w:tc>
          <w:tcPr>
            <w:tcW w:type="dxa" w:w="1728"/>
          </w:tcPr>
          <w:p>
            <w:r>
              <w:rPr>
                <w:rFonts w:ascii="Calibri" w:hAnsi="Calibri"/>
                <w:sz w:val="22"/>
              </w:rPr>
              <w:t>Down low-single digits (~0.5pt IBM impact)</w:t>
            </w:r>
          </w:p>
        </w:tc>
        <w:tc>
          <w:tcPr>
            <w:tcW w:type="dxa" w:w="1728"/>
          </w:tcPr>
          <w:p>
            <w:r>
              <w:rPr>
                <w:rFonts w:ascii="Calibri" w:hAnsi="Calibri"/>
                <w:sz w:val="22"/>
              </w:rPr>
              <w:t>Q2 down 7% — worse than expected; Z shortfall + capex reprioritization</w:t>
            </w:r>
          </w:p>
        </w:tc>
        <w:tc>
          <w:tcPr>
            <w:tcW w:type="dxa" w:w="1728"/>
          </w:tcPr>
          <w:p>
            <w:r>
              <w:rPr>
                <w:rFonts w:ascii="Calibri" w:hAnsi="Calibri"/>
                <w:sz w:val="22"/>
              </w:rPr>
              <w:t>$15.36B (~down 3.5%)</w:t>
            </w:r>
          </w:p>
        </w:tc>
        <w:tc>
          <w:tcPr>
            <w:tcW w:type="dxa" w:w="1728"/>
          </w:tcPr>
          <w:p>
            <w:r>
              <w:rPr>
                <w:rFonts w:ascii="Calibri" w:hAnsi="Calibri"/>
                <w:sz w:val="22"/>
              </w:rPr>
              <w:t>↓ Consensus now pricing in a larger FY decline than guided; z17 program-to-program still ~130% but timing disrupted</w:t>
            </w:r>
          </w:p>
        </w:tc>
      </w:tr>
    </w:tbl>
    <w:p>
      <w:r>
        <w:rPr>
          <w:rFonts w:ascii="Calibri" w:hAnsi="Calibri"/>
          <w:b/>
          <w:color w:val="525866"/>
          <w:sz w:val="22"/>
        </w:rPr>
        <w:t xml:space="preserve">Commentary: </w:t>
      </w:r>
      <w:r>
        <w:rPr>
          <w:rFonts w:ascii="Calibri" w:hAnsi="Calibri"/>
          <w:color w:val="525866"/>
          <w:sz w:val="22"/>
        </w:rPr>
        <w:t>The July 14 pre-announcement letter from Arvind Krishna was notable for its candor — explicitly stating IBM "faltered" and "did not adapt and move quickly enough." This is a meaningful tone shift from the confident posture on the Q1 call. The July 22 call will be the first opportunity for management to provide revised full-year guidance and a detailed explanation of whether the Q2 shortfall is recoverable in H2. Red Hat's sequential re-acceleration to 11% and Distributed Infrastructure's record +37% quarter are genuine bright spots that management will lean on to defend the portfolio thesis.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both Q2 2026 and FY 2026 have moved materially lower since the Q1 earnings baseline — revenue consensus for Q2 fell ~$0.44B and FY fell ~$1.0B, while EPS estimates were trimmed modestly. The gap between IBM's initial 10%+ Software growth target and current consensus (~8.5%) is the most important debate heading into the July 22 call.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at Q1 Earnings +5 Days (Apr 27, 2026)</w:t>
            </w:r>
          </w:p>
        </w:tc>
        <w:tc>
          <w:tcPr>
            <w:tcW w:type="dxa" w:w="1234"/>
            <w:shd w:val="clear" w:color="auto" w:fill="3B4259"/>
          </w:tcPr>
          <w:p>
            <w:r>
              <w:rPr>
                <w:rFonts w:ascii="Calibri" w:hAnsi="Calibri"/>
                <w:b/>
                <w:color w:val="FFFFFF"/>
                <w:sz w:val="22"/>
              </w:rPr>
              <w:t>Current Consensus (Jul 21,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 vs. Guidance (%)</w:t>
            </w:r>
          </w:p>
        </w:tc>
      </w:tr>
      <w:tr>
        <w:tc>
          <w:tcPr>
            <w:tcW w:type="dxa" w:w="1234"/>
          </w:tcPr>
          <w:p>
            <w:r>
              <w:rPr>
                <w:rFonts w:ascii="Calibri" w:hAnsi="Calibri"/>
                <w:sz w:val="22"/>
              </w:rPr>
              <w:t>Total Revenue — Q2 2026</w:t>
            </w:r>
          </w:p>
        </w:tc>
        <w:tc>
          <w:tcPr>
            <w:tcW w:type="dxa" w:w="1234"/>
          </w:tcPr>
          <w:p>
            <w:r>
              <w:rPr>
                <w:rFonts w:ascii="Calibri" w:hAnsi="Calibri"/>
                <w:sz w:val="22"/>
              </w:rPr>
              <w:t>$17.84B</w:t>
            </w:r>
          </w:p>
        </w:tc>
        <w:tc>
          <w:tcPr>
            <w:tcW w:type="dxa" w:w="1234"/>
          </w:tcPr>
          <w:p>
            <w:r>
              <w:rPr>
                <w:rFonts w:ascii="Calibri" w:hAnsi="Calibri"/>
                <w:sz w:val="22"/>
              </w:rPr>
              <w:t>$17.43B</w:t>
            </w:r>
          </w:p>
        </w:tc>
        <w:tc>
          <w:tcPr>
            <w:tcW w:type="dxa" w:w="1234"/>
          </w:tcPr>
          <w:p>
            <w:r>
              <w:rPr>
                <w:rFonts w:ascii="Calibri" w:hAnsi="Calibri"/>
                <w:b/>
                <w:color w:val="E5484D"/>
                <w:sz w:val="22"/>
              </w:rPr>
              <w:t>-2.3%</w:t>
            </w:r>
          </w:p>
        </w:tc>
        <w:tc>
          <w:tcPr>
            <w:tcW w:type="dxa" w:w="1234"/>
          </w:tcPr>
          <w:p>
            <w:r>
              <w:rPr>
                <w:rFonts w:ascii="Calibri" w:hAnsi="Calibri"/>
                <w:sz w:val="22"/>
              </w:rPr>
              <w:t>~5%+ CC (similar to FY)</w:t>
            </w:r>
          </w:p>
        </w:tc>
        <w:tc>
          <w:tcPr>
            <w:tcW w:type="dxa" w:w="1234"/>
          </w:tcPr>
          <w:p>
            <w:r>
              <w:rPr>
                <w:rFonts w:ascii="Calibri" w:hAnsi="Calibri"/>
                <w:sz w:val="22"/>
              </w:rPr>
              <w:t>Pre-ann. $17.2B; full guidance deferred to Jul 22</w:t>
            </w:r>
          </w:p>
        </w:tc>
        <w:tc>
          <w:tcPr>
            <w:tcW w:type="dxa" w:w="1234"/>
          </w:tcPr>
          <w:p>
            <w:r>
              <w:rPr>
                <w:rFonts w:ascii="Calibri" w:hAnsi="Calibri"/>
                <w:sz w:val="22"/>
              </w:rPr>
              <w:t>Pre-ann. ~2% below cons.</w:t>
            </w:r>
          </w:p>
        </w:tc>
      </w:tr>
      <w:tr>
        <w:tc>
          <w:tcPr>
            <w:tcW w:type="dxa" w:w="1234"/>
          </w:tcPr>
          <w:p>
            <w:r>
              <w:rPr>
                <w:rFonts w:ascii="Calibri" w:hAnsi="Calibri"/>
                <w:sz w:val="22"/>
              </w:rPr>
              <w:t>Total Revenue — FY 2026</w:t>
            </w:r>
          </w:p>
        </w:tc>
        <w:tc>
          <w:tcPr>
            <w:tcW w:type="dxa" w:w="1234"/>
          </w:tcPr>
          <w:p>
            <w:r>
              <w:rPr>
                <w:rFonts w:ascii="Calibri" w:hAnsi="Calibri"/>
                <w:sz w:val="22"/>
              </w:rPr>
              <w:t>$71.47B</w:t>
            </w:r>
          </w:p>
        </w:tc>
        <w:tc>
          <w:tcPr>
            <w:tcW w:type="dxa" w:w="1234"/>
          </w:tcPr>
          <w:p>
            <w:r>
              <w:rPr>
                <w:rFonts w:ascii="Calibri" w:hAnsi="Calibri"/>
                <w:sz w:val="22"/>
              </w:rPr>
              <w:t>$70.49B</w:t>
            </w:r>
          </w:p>
        </w:tc>
        <w:tc>
          <w:tcPr>
            <w:tcW w:type="dxa" w:w="1234"/>
          </w:tcPr>
          <w:p>
            <w:r>
              <w:rPr>
                <w:rFonts w:ascii="Calibri" w:hAnsi="Calibri"/>
                <w:b/>
                <w:color w:val="E5484D"/>
                <w:sz w:val="22"/>
              </w:rPr>
              <w:t>-1.4%</w:t>
            </w:r>
          </w:p>
        </w:tc>
        <w:tc>
          <w:tcPr>
            <w:tcW w:type="dxa" w:w="1234"/>
          </w:tcPr>
          <w:p>
            <w:r>
              <w:rPr>
                <w:rFonts w:ascii="Calibri" w:hAnsi="Calibri"/>
                <w:sz w:val="22"/>
              </w:rPr>
              <w:t>5%+ CC growth</w:t>
            </w:r>
          </w:p>
        </w:tc>
        <w:tc>
          <w:tcPr>
            <w:tcW w:type="dxa" w:w="1234"/>
          </w:tcPr>
          <w:p>
            <w:r>
              <w:rPr>
                <w:rFonts w:ascii="Calibri" w:hAnsi="Calibri"/>
                <w:sz w:val="22"/>
              </w:rPr>
              <w:t>Deferred to Jul 22 call</w:t>
            </w:r>
          </w:p>
        </w:tc>
        <w:tc>
          <w:tcPr>
            <w:tcW w:type="dxa" w:w="1234"/>
          </w:tcPr>
          <w:p>
            <w:r>
              <w:rPr>
                <w:rFonts w:ascii="Calibri" w:hAnsi="Calibri"/>
                <w:sz w:val="22"/>
              </w:rPr>
              <w:t>Cons. ~1.4% below initial guidance midpoint</w:t>
            </w:r>
          </w:p>
        </w:tc>
      </w:tr>
      <w:tr>
        <w:tc>
          <w:tcPr>
            <w:tcW w:type="dxa" w:w="1234"/>
          </w:tcPr>
          <w:p>
            <w:r>
              <w:rPr>
                <w:rFonts w:ascii="Calibri" w:hAnsi="Calibri"/>
                <w:sz w:val="22"/>
              </w:rPr>
              <w:t>Op. EPS — Q2 2026</w:t>
            </w:r>
          </w:p>
        </w:tc>
        <w:tc>
          <w:tcPr>
            <w:tcW w:type="dxa" w:w="1234"/>
          </w:tcPr>
          <w:p>
            <w:r>
              <w:rPr>
                <w:rFonts w:ascii="Calibri" w:hAnsi="Calibri"/>
                <w:sz w:val="22"/>
              </w:rPr>
              <w:t>$2.96</w:t>
            </w:r>
          </w:p>
        </w:tc>
        <w:tc>
          <w:tcPr>
            <w:tcW w:type="dxa" w:w="1234"/>
          </w:tcPr>
          <w:p>
            <w:r>
              <w:rPr>
                <w:rFonts w:ascii="Calibri" w:hAnsi="Calibri"/>
                <w:sz w:val="22"/>
              </w:rPr>
              <w:t>$2.91</w:t>
            </w:r>
          </w:p>
        </w:tc>
        <w:tc>
          <w:tcPr>
            <w:tcW w:type="dxa" w:w="1234"/>
          </w:tcPr>
          <w:p>
            <w:r>
              <w:rPr>
                <w:rFonts w:ascii="Calibri" w:hAnsi="Calibri"/>
                <w:b/>
                <w:color w:val="E5484D"/>
                <w:sz w:val="22"/>
              </w:rPr>
              <w:t>-1.7%</w:t>
            </w:r>
          </w:p>
        </w:tc>
        <w:tc>
          <w:tcPr>
            <w:tcW w:type="dxa" w:w="1234"/>
          </w:tcPr>
          <w:p>
            <w:r>
              <w:rPr>
                <w:rFonts w:ascii="Calibri" w:hAnsi="Calibri"/>
                <w:sz w:val="22"/>
              </w:rPr>
              <w:t>~50bps op. PTI expansion</w:t>
            </w:r>
          </w:p>
        </w:tc>
        <w:tc>
          <w:tcPr>
            <w:tcW w:type="dxa" w:w="1234"/>
          </w:tcPr>
          <w:p>
            <w:r>
              <w:rPr>
                <w:rFonts w:ascii="Calibri" w:hAnsi="Calibri"/>
                <w:sz w:val="22"/>
              </w:rPr>
              <w:t>Pre-ann. $2.93 (slight beat vs. cons.)</w:t>
            </w:r>
          </w:p>
        </w:tc>
        <w:tc>
          <w:tcPr>
            <w:tcW w:type="dxa" w:w="1234"/>
          </w:tcPr>
          <w:p>
            <w:r>
              <w:rPr>
                <w:rFonts w:ascii="Calibri" w:hAnsi="Calibri"/>
                <w:sz w:val="22"/>
              </w:rPr>
              <w:t>Pre-ann. +0.7% above cons.</w:t>
            </w:r>
          </w:p>
        </w:tc>
      </w:tr>
      <w:tr>
        <w:tc>
          <w:tcPr>
            <w:tcW w:type="dxa" w:w="1234"/>
          </w:tcPr>
          <w:p>
            <w:r>
              <w:rPr>
                <w:rFonts w:ascii="Calibri" w:hAnsi="Calibri"/>
                <w:sz w:val="22"/>
              </w:rPr>
              <w:t>Op. EPS — FY 2026</w:t>
            </w:r>
          </w:p>
        </w:tc>
        <w:tc>
          <w:tcPr>
            <w:tcW w:type="dxa" w:w="1234"/>
          </w:tcPr>
          <w:p>
            <w:r>
              <w:rPr>
                <w:rFonts w:ascii="Calibri" w:hAnsi="Calibri"/>
                <w:sz w:val="22"/>
              </w:rPr>
              <w:t>$12.45</w:t>
            </w:r>
          </w:p>
        </w:tc>
        <w:tc>
          <w:tcPr>
            <w:tcW w:type="dxa" w:w="1234"/>
          </w:tcPr>
          <w:p>
            <w:r>
              <w:rPr>
                <w:rFonts w:ascii="Calibri" w:hAnsi="Calibri"/>
                <w:sz w:val="22"/>
              </w:rPr>
              <w:t>$12.13</w:t>
            </w:r>
          </w:p>
        </w:tc>
        <w:tc>
          <w:tcPr>
            <w:tcW w:type="dxa" w:w="1234"/>
          </w:tcPr>
          <w:p>
            <w:r>
              <w:rPr>
                <w:rFonts w:ascii="Calibri" w:hAnsi="Calibri"/>
                <w:b/>
                <w:color w:val="E5484D"/>
                <w:sz w:val="22"/>
              </w:rPr>
              <w:t>-2.6%</w:t>
            </w:r>
          </w:p>
        </w:tc>
        <w:tc>
          <w:tcPr>
            <w:tcW w:type="dxa" w:w="1234"/>
          </w:tcPr>
          <w:p>
            <w:r>
              <w:rPr>
                <w:rFonts w:ascii="Calibri" w:hAnsi="Calibri"/>
                <w:sz w:val="22"/>
              </w:rPr>
              <w:t>~1pt op. PTI margin expansion</w:t>
            </w:r>
          </w:p>
        </w:tc>
        <w:tc>
          <w:tcPr>
            <w:tcW w:type="dxa" w:w="1234"/>
          </w:tcPr>
          <w:p>
            <w:r>
              <w:rPr>
                <w:rFonts w:ascii="Calibri" w:hAnsi="Calibri"/>
                <w:sz w:val="22"/>
              </w:rPr>
              <w:t>Deferred to Jul 22 call</w:t>
            </w:r>
          </w:p>
        </w:tc>
        <w:tc>
          <w:tcPr>
            <w:tcW w:type="dxa" w:w="1234"/>
          </w:tcPr>
          <w:p>
            <w:r>
              <w:rPr>
                <w:rFonts w:ascii="Calibri" w:hAnsi="Calibri"/>
                <w:sz w:val="22"/>
              </w:rPr>
              <w:t>Cons. ~2.6% below post-Q1 baseline</w:t>
            </w:r>
          </w:p>
        </w:tc>
      </w:tr>
      <w:tr>
        <w:tc>
          <w:tcPr>
            <w:tcW w:type="dxa" w:w="1234"/>
          </w:tcPr>
          <w:p>
            <w:r>
              <w:rPr>
                <w:rFonts w:ascii="Calibri" w:hAnsi="Calibri"/>
                <w:sz w:val="22"/>
              </w:rPr>
              <w:t>Software Revenue — Q2 2026</w:t>
            </w:r>
          </w:p>
        </w:tc>
        <w:tc>
          <w:tcPr>
            <w:tcW w:type="dxa" w:w="1234"/>
          </w:tcPr>
          <w:p>
            <w:r>
              <w:rPr>
                <w:rFonts w:ascii="Calibri" w:hAnsi="Calibri"/>
                <w:sz w:val="22"/>
              </w:rPr>
              <w:t>$8.20B</w:t>
            </w:r>
          </w:p>
        </w:tc>
        <w:tc>
          <w:tcPr>
            <w:tcW w:type="dxa" w:w="1234"/>
          </w:tcPr>
          <w:p>
            <w:r>
              <w:rPr>
                <w:rFonts w:ascii="Calibri" w:hAnsi="Calibri"/>
                <w:sz w:val="22"/>
              </w:rPr>
              <w:t>$7.94B</w:t>
            </w:r>
          </w:p>
        </w:tc>
        <w:tc>
          <w:tcPr>
            <w:tcW w:type="dxa" w:w="1234"/>
          </w:tcPr>
          <w:p>
            <w:r>
              <w:rPr>
                <w:rFonts w:ascii="Calibri" w:hAnsi="Calibri"/>
                <w:b/>
                <w:color w:val="E5484D"/>
                <w:sz w:val="22"/>
              </w:rPr>
              <w:t>-3.2%</w:t>
            </w:r>
          </w:p>
        </w:tc>
        <w:tc>
          <w:tcPr>
            <w:tcW w:type="dxa" w:w="1234"/>
          </w:tcPr>
          <w:p>
            <w:r>
              <w:rPr>
                <w:rFonts w:ascii="Calibri" w:hAnsi="Calibri"/>
                <w:sz w:val="22"/>
              </w:rPr>
              <w:t>10%+ FY; Q2 similar to FY rate</w:t>
            </w:r>
          </w:p>
        </w:tc>
        <w:tc>
          <w:tcPr>
            <w:tcW w:type="dxa" w:w="1234"/>
          </w:tcPr>
          <w:p>
            <w:r>
              <w:rPr>
                <w:rFonts w:ascii="Calibri" w:hAnsi="Calibri"/>
                <w:sz w:val="22"/>
              </w:rPr>
              <w:t>Pre-ann. ~$7.74B (+5% YoY)</w:t>
            </w:r>
          </w:p>
        </w:tc>
        <w:tc>
          <w:tcPr>
            <w:tcW w:type="dxa" w:w="1234"/>
          </w:tcPr>
          <w:p>
            <w:r>
              <w:rPr>
                <w:rFonts w:ascii="Calibri" w:hAnsi="Calibri"/>
                <w:sz w:val="22"/>
              </w:rPr>
              <w:t>Pre-ann. ~2.5% below cons.</w:t>
            </w:r>
          </w:p>
        </w:tc>
      </w:tr>
      <w:tr>
        <w:tc>
          <w:tcPr>
            <w:tcW w:type="dxa" w:w="1234"/>
          </w:tcPr>
          <w:p>
            <w:r>
              <w:rPr>
                <w:rFonts w:ascii="Calibri" w:hAnsi="Calibri"/>
                <w:sz w:val="22"/>
              </w:rPr>
              <w:t>Software Revenue — FY 2026</w:t>
            </w:r>
          </w:p>
        </w:tc>
        <w:tc>
          <w:tcPr>
            <w:tcW w:type="dxa" w:w="1234"/>
          </w:tcPr>
          <w:p>
            <w:r>
              <w:rPr>
                <w:rFonts w:ascii="Calibri" w:hAnsi="Calibri"/>
                <w:sz w:val="22"/>
              </w:rPr>
              <w:t>$33.37B</w:t>
            </w:r>
          </w:p>
        </w:tc>
        <w:tc>
          <w:tcPr>
            <w:tcW w:type="dxa" w:w="1234"/>
          </w:tcPr>
          <w:p>
            <w:r>
              <w:rPr>
                <w:rFonts w:ascii="Calibri" w:hAnsi="Calibri"/>
                <w:sz w:val="22"/>
              </w:rPr>
              <w:t>$32.69B</w:t>
            </w:r>
          </w:p>
        </w:tc>
        <w:tc>
          <w:tcPr>
            <w:tcW w:type="dxa" w:w="1234"/>
          </w:tcPr>
          <w:p>
            <w:r>
              <w:rPr>
                <w:rFonts w:ascii="Calibri" w:hAnsi="Calibri"/>
                <w:b/>
                <w:color w:val="E5484D"/>
                <w:sz w:val="22"/>
              </w:rPr>
              <w:t>-2.0%</w:t>
            </w:r>
          </w:p>
        </w:tc>
        <w:tc>
          <w:tcPr>
            <w:tcW w:type="dxa" w:w="1234"/>
          </w:tcPr>
          <w:p>
            <w:r>
              <w:rPr>
                <w:rFonts w:ascii="Calibri" w:hAnsi="Calibri"/>
                <w:sz w:val="22"/>
              </w:rPr>
              <w:t>10%+ growth</w:t>
            </w:r>
          </w:p>
        </w:tc>
        <w:tc>
          <w:tcPr>
            <w:tcW w:type="dxa" w:w="1234"/>
          </w:tcPr>
          <w:p>
            <w:r>
              <w:rPr>
                <w:rFonts w:ascii="Calibri" w:hAnsi="Calibri"/>
                <w:sz w:val="22"/>
              </w:rPr>
              <w:t>Deferred to Jul 22 call</w:t>
            </w:r>
          </w:p>
        </w:tc>
        <w:tc>
          <w:tcPr>
            <w:tcW w:type="dxa" w:w="1234"/>
          </w:tcPr>
          <w:p>
            <w:r>
              <w:rPr>
                <w:rFonts w:ascii="Calibri" w:hAnsi="Calibri"/>
                <w:sz w:val="22"/>
              </w:rPr>
              <w:t>Cons. ~2% below 10%+ target; key debate</w:t>
            </w:r>
          </w:p>
        </w:tc>
      </w:tr>
      <w:tr>
        <w:tc>
          <w:tcPr>
            <w:tcW w:type="dxa" w:w="1234"/>
          </w:tcPr>
          <w:p>
            <w:r>
              <w:rPr>
                <w:rFonts w:ascii="Calibri" w:hAnsi="Calibri"/>
                <w:sz w:val="22"/>
              </w:rPr>
              <w:t>Free Cash Flow — FY 2026</w:t>
            </w:r>
          </w:p>
        </w:tc>
        <w:tc>
          <w:tcPr>
            <w:tcW w:type="dxa" w:w="1234"/>
          </w:tcPr>
          <w:p>
            <w:r>
              <w:rPr>
                <w:rFonts w:ascii="Calibri" w:hAnsi="Calibri"/>
                <w:sz w:val="22"/>
              </w:rPr>
              <w:t>$15.87B</w:t>
            </w:r>
          </w:p>
        </w:tc>
        <w:tc>
          <w:tcPr>
            <w:tcW w:type="dxa" w:w="1234"/>
          </w:tcPr>
          <w:p>
            <w:r>
              <w:rPr>
                <w:rFonts w:ascii="Calibri" w:hAnsi="Calibri"/>
                <w:sz w:val="22"/>
              </w:rPr>
              <w:t>$15.25B</w:t>
            </w:r>
          </w:p>
        </w:tc>
        <w:tc>
          <w:tcPr>
            <w:tcW w:type="dxa" w:w="1234"/>
          </w:tcPr>
          <w:p>
            <w:r>
              <w:rPr>
                <w:rFonts w:ascii="Calibri" w:hAnsi="Calibri"/>
                <w:b/>
                <w:color w:val="E5484D"/>
                <w:sz w:val="22"/>
              </w:rPr>
              <w:t>-3.9%</w:t>
            </w:r>
          </w:p>
        </w:tc>
        <w:tc>
          <w:tcPr>
            <w:tcW w:type="dxa" w:w="1234"/>
          </w:tcPr>
          <w:p>
            <w:r>
              <w:rPr>
                <w:rFonts w:ascii="Calibri" w:hAnsi="Calibri"/>
                <w:sz w:val="22"/>
              </w:rPr>
              <w:t>~$15.7B (~$1B YoY growth)</w:t>
            </w:r>
          </w:p>
        </w:tc>
        <w:tc>
          <w:tcPr>
            <w:tcW w:type="dxa" w:w="1234"/>
          </w:tcPr>
          <w:p>
            <w:r>
              <w:rPr>
                <w:rFonts w:ascii="Calibri" w:hAnsi="Calibri"/>
                <w:sz w:val="22"/>
              </w:rPr>
              <w:t>YTD H1 FCF $4.76B; H2 must deliver ~$10.5B</w:t>
            </w:r>
          </w:p>
        </w:tc>
        <w:tc>
          <w:tcPr>
            <w:tcW w:type="dxa" w:w="1234"/>
          </w:tcPr>
          <w:p>
            <w:r>
              <w:rPr>
                <w:rFonts w:ascii="Calibri" w:hAnsi="Calibri"/>
                <w:sz w:val="22"/>
              </w:rPr>
              <w:t>Cons. ~2.9% below guidance; achievable if H2 deal closures recover</w:t>
            </w:r>
          </w:p>
        </w:tc>
      </w:tr>
    </w:tbl>
    <w:p>
      <w:r>
        <w:rPr>
          <w:rFonts w:ascii="Calibri" w:hAnsi="Calibri"/>
          <w:i/>
          <w:color w:val="525866"/>
          <w:sz w:val="22"/>
        </w:rPr>
        <w:t xml:space="preserve">Source: Visible Alpha Consensus and Actuals Data. Estimate baseline as of April 27, 2026 (5 trading days post-Q1 earnings). Current consensus as of July 21, 2026. Pre-announced Q2 figures from IBM 8-K dated July 14, 2026. </w:t>
      </w:r>
      <w:r>
        <w:rPr>
          <w:rFonts w:ascii="Calibri" w:hAnsi="Calibri"/>
          <w:b/>
          <w:i/>
          <w:color w:val="525866"/>
          <w:sz w:val="22"/>
        </w:rPr>
        <w:t xml:space="preserve">Note: </w:t>
      </w:r>
      <w:r>
        <w:rPr>
          <w:rFonts w:ascii="Calibri" w:hAnsi="Calibri"/>
          <w:i/>
          <w:color w:val="525866"/>
          <w:sz w:val="22"/>
        </w:rPr>
        <w:t>Across every KPI, estimates have moved lower since the Q1 earnings baseline, with the sharpest cuts in Software revenue and FCF. The EPS revision is smaller because productivity savings and margin discipline are partially offsetting the revenue shortfall. The critical question for the July 22 call is whether management can credibly defend the 10%+ Software growth target for the full year given the Q2 Transaction Processing drag.</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IBM dramatically outperformed the market and software peers from late May through early June — surging ~32% from its post-Q1 lows to a peak of $329 on June 2 — before reversing sharply on the July 14 pre-announcement miss, which erased all of those gains and then some. The stock is now down ~16% since the Q1 earnings date vs. IGV +3.5% and SPY +5.2%, a stark underperformance driven entirely by the Q2 revenue miss and guidance uncertainty.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IBM vs. IGV (iShares Expanded Tech-Software ETF) vs. S&amp;P 500 — Indexed to 100 at April 22, 2026 (Q1 2026 Earnings Date). Source: Stock Price Data (Yahoo Finance).</w:t>
      </w:r>
    </w:p>
    <w:p>
      <w:r>
        <w:rPr>
          <w:rFonts w:ascii="Calibri" w:hAnsi="Calibri"/>
          <w:b/>
          <w:color w:val="525866"/>
          <w:sz w:val="22"/>
        </w:rPr>
        <w:t xml:space="preserve">Performance Narrative: </w:t>
      </w:r>
      <w:r>
        <w:rPr>
          <w:rFonts w:ascii="Calibri" w:hAnsi="Calibri"/>
          <w:color w:val="525866"/>
          <w:sz w:val="22"/>
        </w:rPr>
        <w:t>IBM fell sharply on April 23 (the day after Q1 earnings), declining ~8.2% to $231 despite beating on all major metrics — the market was disappointed by management's decision to hold full-year guidance unchanged. The stock then drifted lower through mid-May, reaching a trough near $214 on May 13. A dramatic reversal began around May 21, with IBM surging from ~$222 to a peak of $329 on June 2 — a ~48% rally in roughly two weeks, driven by what appears to be a combination of short-covering, AI/quantum enthusiasm (IBM Think 2026 conference, Lightwell launch, Anderon quantum foundry announcement), and broader tech sector momentum. This rally was entirely idiosyncratic to IBM — IGV and SPY were essentially flat during the same period. The stock then reversed sharply from its June 2 peak, declining steadily through late June and early July as the market began pricing in Q2 concerns. The July 14 pre-announcement triggered a catastrophic single-day decline of ~$73 (from $290 to $217), the stock's worst day since the February 2026 Anthropic/COBOL shock. As of July 21, IBM trades at ~$210, down ~16.4% from the Q1 earnings date, while IGV is up ~3.5% and SPY is up ~5.2% over the same period.</w:t>
      </w:r>
    </w:p>
    <w:p>
      <w:r>
        <w:br w:type="page"/>
      </w:r>
    </w:p>
    <w:p>
      <w:pPr>
        <w:pStyle w:val="Heading2"/>
      </w:pPr>
      <w:r>
        <w:rPr>
          <w:rFonts w:ascii="Calibri" w:hAnsi="Calibri"/>
          <w:b/>
          <w:color w:val="3B4259"/>
          <w:sz w:val="28"/>
        </w:rPr>
        <w:t>6. Peer Commentaries — Read-Throughs for IBM Q2 2026</w:t>
      </w:r>
    </w:p>
    <w:p>
      <w:r>
        <w:rPr>
          <w:rFonts w:ascii="Calibri" w:hAnsi="Calibri"/>
          <w:b/>
          <w:color w:val="525866"/>
          <w:sz w:val="22"/>
        </w:rPr>
        <w:t xml:space="preserve">Key Takeaway: </w:t>
      </w:r>
      <w:r>
        <w:rPr>
          <w:rFonts w:ascii="Calibri" w:hAnsi="Calibri"/>
          <w:color w:val="525866"/>
          <w:sz w:val="22"/>
        </w:rPr>
        <w:t>Peer commentary from the last 60 days paints a nuanced picture for IBM: enterprise software demand remains healthy (Oracle, SAP, Salesforce all strong), but IT services/consulting faces macro headwinds and deal slippage (Accenture, Infosys, Cognizant all flagging discretionary caution). The most direct read-through is Accenture's explicit call-out of large deal push-outs and Middle East-related disruptions in late Q2 — consistent with IBM's own explanation for its Q2 miss.</w:t>
      </w:r>
    </w:p>
    <w:p>
      <w:r>
        <w:rPr>
          <w:rFonts w:ascii="Calibri" w:hAnsi="Calibri"/>
          <w:b/>
          <w:i/>
          <w:color w:val="525866"/>
          <w:sz w:val="22"/>
        </w:rPr>
        <w:t xml:space="preserve">Note on peer selection: </w:t>
      </w:r>
      <w:r>
        <w:rPr>
          <w:rFonts w:ascii="Calibri" w:hAnsi="Calibri"/>
          <w:i/>
          <w:color w:val="525866"/>
          <w:sz w:val="22"/>
        </w:rPr>
        <w:t>Only commentary from the current reporting quarter (Q2 2026 calendar) or post-Q1 2026 earnings is included. Prior-quarter earnings results (e.g., peers reporting on their own Q1 results without forward commentary) are excluded unless they contain explicit forward-looking statements about the current quarter.</w:t>
      </w:r>
    </w:p>
    <w:p>
      <w:pPr>
        <w:pStyle w:val="Heading3"/>
      </w:pPr>
      <w:r>
        <w:rPr>
          <w:rFonts w:ascii="Calibri" w:hAnsi="Calibri"/>
          <w:b/>
          <w:color w:val="3B4259"/>
          <w:sz w:val="24"/>
        </w:rPr>
        <w:t>Accenture (ACN) — Q3 FY2026 Earnings (June 18, 2026) — HIGH RELEVANCE</w:t>
      </w:r>
    </w:p>
    <w:p>
      <w:r>
        <w:rPr>
          <w:rFonts w:ascii="Calibri" w:hAnsi="Calibri"/>
          <w:b/>
          <w:color w:val="525866"/>
          <w:sz w:val="22"/>
        </w:rPr>
        <w:t xml:space="preserve">Read-through signal: </w:t>
      </w:r>
      <w:r>
        <w:rPr>
          <w:rFonts w:ascii="Calibri" w:hAnsi="Calibri"/>
          <w:color w:val="525866"/>
          <w:sz w:val="22"/>
        </w:rPr>
        <w:t>Strongly corroborates IBM's Q2 miss narrative. Accenture reported that in the last few weeks of Q3 FY26 (which maps to late May/early June 2026), it saw indirect macro impacts from the Middle East conflict spread globally, particularly affecting discretionary spend in products and resources. Critically, Accenture disclosed that "a couple of large managed services opportunities moved into FY27 for company-specific reasons" — deal push-outs worth $300M-$500M each. This is a near-identical dynamic to IBM's admission that "numerous large deals failed to close on the timelines we expected." Accenture also flagged that for Q4 FY26 (July-August 2026), it expects the indirect macro impact to continue for the full quarter, suggesting the deal-closure environment remains challenging heading into IBM's H2.</w:t>
      </w:r>
    </w:p>
    <w:p>
      <w:pPr>
        <w:pStyle w:val="ListBullet"/>
        <w:ind w:left="360" w:hanging="360"/>
      </w:pPr>
      <w:r>
        <w:rPr>
          <w:rFonts w:ascii="Calibri" w:hAnsi="Calibri"/>
          <w:color w:val="525866"/>
          <w:sz w:val="22"/>
        </w:rPr>
        <w:t>Consulting bookings book-to-bill of 1.1x in Q3 FY26, but overall bookings down 2% YoY — consistent with IBM Consulting's flat revenue and deal slippage narrative.</w:t>
      </w:r>
      <w:r>
        <w:rPr>
          <w:rFonts w:ascii="Calibri" w:hAnsi="Calibri"/>
          <w:color w:val="525866"/>
          <w:sz w:val="22"/>
        </w:rPr>
      </w:r>
    </w:p>
    <w:p>
      <w:pPr>
        <w:pStyle w:val="ListBullet"/>
        <w:ind w:left="360" w:hanging="360"/>
      </w:pPr>
      <w:r>
        <w:rPr>
          <w:rFonts w:ascii="Calibri" w:hAnsi="Calibri"/>
          <w:color w:val="525866"/>
          <w:sz w:val="22"/>
        </w:rPr>
        <w:t>Accenture noted clients are moving from "using AI to running on AI" — supportive of IBM's thesis that GenAI is converting from backlog to revenue, but the pace is slower than hoped.</w:t>
      </w:r>
      <w:r>
        <w:rPr>
          <w:rFonts w:ascii="Calibri" w:hAnsi="Calibri"/>
          <w:color w:val="525866"/>
          <w:sz w:val="22"/>
        </w:rPr>
      </w:r>
    </w:p>
    <w:p>
      <w:pPr>
        <w:pStyle w:val="ListBullet"/>
        <w:ind w:left="360" w:hanging="360"/>
      </w:pPr>
      <w:r>
        <w:rPr>
          <w:rFonts w:ascii="Calibri" w:hAnsi="Calibri"/>
          <w:color w:val="525866"/>
          <w:sz w:val="22"/>
        </w:rPr>
        <w:t>Q4 FY26 revenue guidance of $17.75B-$18.4B (1%-5% local currency growth) reflects continued macro caution — a read-through that IBM's H2 consulting recovery may be back-half weighted.</w:t>
      </w:r>
      <w:r>
        <w:rPr>
          <w:rFonts w:ascii="Calibri" w:hAnsi="Calibri"/>
          <w:color w:val="525866"/>
          <w:sz w:val="22"/>
        </w:rPr>
      </w:r>
    </w:p>
    <w:p>
      <w:pPr>
        <w:pStyle w:val="ListBullet"/>
        <w:ind w:left="360" w:hanging="360"/>
      </w:pPr>
      <w:r>
        <w:rPr>
          <w:rFonts w:ascii="Calibri" w:hAnsi="Calibri"/>
          <w:color w:val="525866"/>
          <w:sz w:val="22"/>
        </w:rPr>
        <w:t>Accenture is deploying ~$9B in acquisitions this fiscal year (up from $5B prior estimate), including OT cybersecurity assets — validates IBM's Lightwell cybersecurity clearinghouse strategy as addressing real enterprise demand.</w:t>
      </w:r>
      <w:r>
        <w:rPr>
          <w:rFonts w:ascii="Calibri" w:hAnsi="Calibri"/>
          <w:color w:val="525866"/>
          <w:sz w:val="22"/>
        </w:rPr>
      </w:r>
    </w:p>
    <w:p>
      <w:pPr>
        <w:pStyle w:val="Heading3"/>
      </w:pPr>
      <w:r>
        <w:rPr>
          <w:rFonts w:ascii="Calibri" w:hAnsi="Calibri"/>
          <w:b/>
          <w:color w:val="3B4259"/>
          <w:sz w:val="24"/>
        </w:rPr>
        <w:t>Cognizant (CTSH) — Q1 2026 Earnings (April 29, 2026) + Multiple Conferences (May-June 2026) — MODERATE RELEVANCE</w:t>
      </w:r>
    </w:p>
    <w:p>
      <w:r>
        <w:rPr>
          <w:rFonts w:ascii="Calibri" w:hAnsi="Calibri"/>
          <w:b/>
          <w:color w:val="525866"/>
          <w:sz w:val="22"/>
        </w:rPr>
        <w:t xml:space="preserve">Read-through signal: </w:t>
      </w:r>
      <w:r>
        <w:rPr>
          <w:rFonts w:ascii="Calibri" w:hAnsi="Calibri"/>
          <w:color w:val="525866"/>
          <w:sz w:val="22"/>
        </w:rPr>
        <w:t>Cognizant's Q1 2026 results and subsequent conference commentary provide a mixed read-through. On the positive side, Cognizant reported 21% bookings growth YoY with a 1.4x trailing 12-month book-to-bill — suggesting enterprise IT demand for large deals is healthy when execution is strong. However, Cognizant explicitly flagged a "softening demand environment" and noted that "market conditions have become more complex since the start of the year," with heightened macro uncertainty expected to persist. The Q2 2026 guidance of 3.2%-4.7% CC growth includes a "more cautious near-term view of discretionary spending" — directly relevant to IBM Consulting's flat Q2 revenue.</w:t>
      </w:r>
    </w:p>
    <w:p>
      <w:pPr>
        <w:pStyle w:val="ListBullet"/>
        <w:ind w:left="360" w:hanging="360"/>
      </w:pPr>
      <w:r>
        <w:rPr>
          <w:rFonts w:ascii="Calibri" w:hAnsi="Calibri"/>
          <w:color w:val="525866"/>
          <w:sz w:val="22"/>
        </w:rPr>
        <w:t>Cognizant CEO highlighted "great momentum on mainframe modernization" with cost to refactor one line of COBOL dropping from $10 to $1.50 — a potential headwind read-through for IBM's Z software stack, though IBM management has argued this dynamic actually drives MIPS growth.</w:t>
      </w:r>
      <w:r>
        <w:rPr>
          <w:rFonts w:ascii="Calibri" w:hAnsi="Calibri"/>
          <w:color w:val="525866"/>
          <w:sz w:val="22"/>
        </w:rPr>
      </w:r>
    </w:p>
    <w:p>
      <w:pPr>
        <w:pStyle w:val="ListBullet"/>
        <w:ind w:left="360" w:hanging="360"/>
      </w:pPr>
      <w:r>
        <w:rPr>
          <w:rFonts w:ascii="Calibri" w:hAnsi="Calibri"/>
          <w:color w:val="525866"/>
          <w:sz w:val="22"/>
        </w:rPr>
        <w:t>BPO/operations-led AI growing "close to double-digits" at Cognizant — consistent with IBM's framing that agentic AI is driving demand in operations, but also signals competitive intensity in IBM's Consulting intelligent operations segment.</w:t>
      </w:r>
      <w:r>
        <w:rPr>
          <w:rFonts w:ascii="Calibri" w:hAnsi="Calibri"/>
          <w:color w:val="525866"/>
          <w:sz w:val="22"/>
        </w:rPr>
      </w:r>
    </w:p>
    <w:p>
      <w:pPr>
        <w:pStyle w:val="ListBullet"/>
        <w:ind w:left="360" w:hanging="360"/>
      </w:pPr>
      <w:r>
        <w:rPr>
          <w:rFonts w:ascii="Calibri" w:hAnsi="Calibri"/>
          <w:color w:val="525866"/>
          <w:sz w:val="22"/>
        </w:rPr>
        <w:t>Large deal transitions from Q4 2025 and Q1 2026 expected to "unlock in Q2 and Q3" — a positive read-through for IBM Consulting's H2 revenue ramp if similar dynamics apply.</w:t>
      </w:r>
      <w:r>
        <w:rPr>
          <w:rFonts w:ascii="Calibri" w:hAnsi="Calibri"/>
          <w:color w:val="525866"/>
          <w:sz w:val="22"/>
        </w:rPr>
      </w:r>
    </w:p>
    <w:p>
      <w:pPr>
        <w:pStyle w:val="Heading3"/>
      </w:pPr>
      <w:r>
        <w:rPr>
          <w:rFonts w:ascii="Calibri" w:hAnsi="Calibri"/>
          <w:b/>
          <w:color w:val="3B4259"/>
          <w:sz w:val="24"/>
        </w:rPr>
        <w:t>Infosys (INFY) — Q4 FY2026 Earnings (April 23, 2026) — MODERATE RELEVANCE</w:t>
      </w:r>
    </w:p>
    <w:p>
      <w:r>
        <w:rPr>
          <w:rFonts w:ascii="Calibri" w:hAnsi="Calibri"/>
          <w:b/>
          <w:color w:val="525866"/>
          <w:sz w:val="22"/>
        </w:rPr>
        <w:t xml:space="preserve">Read-through signal: </w:t>
      </w:r>
      <w:r>
        <w:rPr>
          <w:rFonts w:ascii="Calibri" w:hAnsi="Calibri"/>
          <w:color w:val="525866"/>
          <w:sz w:val="22"/>
        </w:rPr>
        <w:t>Infosys's FY27 guidance of 1.5%-3.5% CC revenue growth (below IBM Consulting's low-to-mid single digit target) and its characterization of client spending as "guarded with greater focus on cost optimization engagement as against growth-led transformation programs" is a cautionary read-through for IBM Consulting. Infosys specifically cited "slower decision-making in the month of March" and "continued uncertainty on account of tariffs and ongoing Middle East conflict" — macro factors that IBM also cited in its Q2 pre-announcement.</w:t>
      </w:r>
    </w:p>
    <w:p>
      <w:pPr>
        <w:pStyle w:val="ListBullet"/>
        <w:ind w:left="360" w:hanging="360"/>
      </w:pPr>
      <w:r>
        <w:rPr>
          <w:rFonts w:ascii="Calibri" w:hAnsi="Calibri"/>
          <w:color w:val="525866"/>
          <w:sz w:val="22"/>
        </w:rPr>
        <w:t>Infosys sees "strong uptick in AI deals in areas like IT operations, software replacement, and mainframe migration" — the mainframe migration angle is a double-edged read-through for IBM: demand for modernization services is real, but Infosys (using Anthropic/OpenAI tools) is competing for that work.</w:t>
      </w:r>
      <w:r>
        <w:rPr>
          <w:rFonts w:ascii="Calibri" w:hAnsi="Calibri"/>
          <w:color w:val="525866"/>
          <w:sz w:val="22"/>
        </w:rPr>
      </w:r>
    </w:p>
    <w:p>
      <w:pPr>
        <w:pStyle w:val="ListBullet"/>
        <w:ind w:left="360" w:hanging="360"/>
      </w:pPr>
      <w:r>
        <w:rPr>
          <w:rFonts w:ascii="Calibri" w:hAnsi="Calibri"/>
          <w:color w:val="525866"/>
          <w:sz w:val="22"/>
        </w:rPr>
        <w:t>Discretionary spending "remains constrained" and budgets are "flat to negative" — consistent with IBM Consulting's flat Q2 revenue and the deal-slippage narrative.</w:t>
      </w:r>
      <w:r>
        <w:rPr>
          <w:rFonts w:ascii="Calibri" w:hAnsi="Calibri"/>
          <w:color w:val="525866"/>
          <w:sz w:val="22"/>
        </w:rPr>
      </w:r>
    </w:p>
    <w:p>
      <w:pPr>
        <w:pStyle w:val="ListBullet"/>
        <w:ind w:left="360" w:hanging="360"/>
      </w:pPr>
      <w:r>
        <w:rPr>
          <w:rFonts w:ascii="Calibri" w:hAnsi="Calibri"/>
          <w:color w:val="525866"/>
          <w:sz w:val="22"/>
        </w:rPr>
        <w:t>H1 expected to be stronger than H2 for Infosys (opposite of IBM's typical seasonality) — suggests the macro environment may not provide a natural tailwind for IBM's H2 consulting recovery thesis.</w:t>
      </w:r>
      <w:r>
        <w:rPr>
          <w:rFonts w:ascii="Calibri" w:hAnsi="Calibri"/>
          <w:color w:val="525866"/>
          <w:sz w:val="22"/>
        </w:rPr>
      </w:r>
    </w:p>
    <w:p>
      <w:pPr>
        <w:pStyle w:val="Heading3"/>
      </w:pPr>
      <w:r>
        <w:rPr>
          <w:rFonts w:ascii="Calibri" w:hAnsi="Calibri"/>
          <w:b/>
          <w:color w:val="3B4259"/>
          <w:sz w:val="24"/>
        </w:rPr>
        <w:t>Oracle (ORCL) — Q4 FY2026 Earnings (June 10, 2026) — MODERATE RELEVANCE</w:t>
      </w:r>
    </w:p>
    <w:p>
      <w:r>
        <w:rPr>
          <w:rFonts w:ascii="Calibri" w:hAnsi="Calibri"/>
          <w:b/>
          <w:color w:val="525866"/>
          <w:sz w:val="22"/>
        </w:rPr>
        <w:t xml:space="preserve">Read-through signal: </w:t>
      </w:r>
      <w:r>
        <w:rPr>
          <w:rFonts w:ascii="Calibri" w:hAnsi="Calibri"/>
          <w:color w:val="525866"/>
          <w:sz w:val="22"/>
        </w:rPr>
        <w:t>Oracle's blowout Q4 — cloud infrastructure revenue +93%, RPO of $638B (+363%), and $67B in AI infrastructure contracts signed in the quarter — is a strong positive read-through for enterprise AI demand broadly, but a more nuanced signal for IBM specifically. Oracle's strength is concentrated in cloud infrastructure (OCI) and database, not in the hybrid/on-premise enterprise software and mainframe segments where IBM competes. The key read-through is that enterprise customers have "moved past the experimental stage of AI" and are ready to implement at scale — supportive of IBM's thesis that AI workloads on the mainframe (Spyre Accelerator, watsonx) will drive incremental MIPS growth.</w:t>
      </w:r>
    </w:p>
    <w:p>
      <w:pPr>
        <w:pStyle w:val="ListBullet"/>
        <w:ind w:left="360" w:hanging="360"/>
      </w:pPr>
      <w:r>
        <w:rPr>
          <w:rFonts w:ascii="Calibri" w:hAnsi="Calibri"/>
          <w:color w:val="525866"/>
          <w:sz w:val="22"/>
        </w:rPr>
        <w:t>Oracle noted "delayed decision cycles" in SaaS software a couple of quarters ago have resolved — a positive read-through suggesting the enterprise software demand environment is improving, which could benefit IBM's Transaction Processing and Automation segments in H2.</w:t>
      </w:r>
      <w:r>
        <w:rPr>
          <w:rFonts w:ascii="Calibri" w:hAnsi="Calibri"/>
          <w:color w:val="525866"/>
          <w:sz w:val="22"/>
        </w:rPr>
      </w:r>
    </w:p>
    <w:p>
      <w:pPr>
        <w:pStyle w:val="ListBullet"/>
        <w:ind w:left="360" w:hanging="360"/>
      </w:pPr>
      <w:r>
        <w:rPr>
          <w:rFonts w:ascii="Calibri" w:hAnsi="Calibri"/>
          <w:color w:val="525866"/>
          <w:sz w:val="22"/>
        </w:rPr>
        <w:t>Multi-cloud database revenue +404% YoY — validates IBM's hybrid cloud positioning (Red Hat OpenShift, IBM Cloud Paks) as enterprises increasingly want workload portability across clouds.</w:t>
      </w:r>
      <w:r>
        <w:rPr>
          <w:rFonts w:ascii="Calibri" w:hAnsi="Calibri"/>
          <w:color w:val="525866"/>
          <w:sz w:val="22"/>
        </w:rPr>
      </w:r>
    </w:p>
    <w:p>
      <w:pPr>
        <w:pStyle w:val="ListBullet"/>
        <w:ind w:left="360" w:hanging="360"/>
      </w:pPr>
      <w:r>
        <w:rPr>
          <w:rFonts w:ascii="Calibri" w:hAnsi="Calibri"/>
          <w:color w:val="525866"/>
          <w:sz w:val="22"/>
        </w:rPr>
        <w:t>Oracle's Q1 FY27 guidance of 27%-29% total revenue growth and 58%-64% cloud revenue growth reflects a demand environment that is accelerating, not decelerating — a positive macro backdrop for IBM's software portfolio, though IBM's growth rates are far more modest.</w:t>
      </w:r>
      <w:r>
        <w:rPr>
          <w:rFonts w:ascii="Calibri" w:hAnsi="Calibri"/>
          <w:color w:val="525866"/>
          <w:sz w:val="22"/>
        </w:rPr>
      </w:r>
    </w:p>
    <w:p>
      <w:pPr>
        <w:pStyle w:val="Heading3"/>
      </w:pPr>
      <w:r>
        <w:rPr>
          <w:rFonts w:ascii="Calibri" w:hAnsi="Calibri"/>
          <w:b/>
          <w:color w:val="3B4259"/>
          <w:sz w:val="24"/>
        </w:rPr>
        <w:t>Salesforce (CRM) — Q1 FY2027 Earnings (May 27, 2026) — MODERATE RELEVANCE</w:t>
      </w:r>
    </w:p>
    <w:p>
      <w:r>
        <w:rPr>
          <w:rFonts w:ascii="Calibri" w:hAnsi="Calibri"/>
          <w:b/>
          <w:color w:val="525866"/>
          <w:sz w:val="22"/>
        </w:rPr>
        <w:t xml:space="preserve">Read-through signal: </w:t>
      </w:r>
      <w:r>
        <w:rPr>
          <w:rFonts w:ascii="Calibri" w:hAnsi="Calibri"/>
          <w:color w:val="525866"/>
          <w:sz w:val="22"/>
        </w:rPr>
        <w:t>Salesforce's record Q1 FY27 — Agentforce ARR surpassing $1B, CRPO +14%, and 98 deals over $1M in new ACV — is a positive read-through for enterprise software demand and agentic AI adoption. The most relevant signal for IBM is Salesforce's observation that customers are moving from "using AI to running on AI," with 50% of Agentforce/Data 360 bookings from existing customers expanding — consistent with IBM's thesis that its installed base will drive AI platform (watsonx agents, assistants, orchestration) revenue growth.</w:t>
      </w:r>
    </w:p>
    <w:p>
      <w:pPr>
        <w:pStyle w:val="ListBullet"/>
        <w:ind w:left="360" w:hanging="360"/>
      </w:pPr>
      <w:r>
        <w:rPr>
          <w:rFonts w:ascii="Calibri" w:hAnsi="Calibri"/>
          <w:color w:val="525866"/>
          <w:sz w:val="22"/>
        </w:rPr>
        <w:t>Salesforce processed 28.6 trillion tokens (+152% QoQ) and 3.8 billion Agentic Work Units (+111% QoQ) — demonstrates that enterprise agentic AI adoption is accelerating rapidly, a positive backdrop for IBM's AI platform business (north of $1.5B TTM, growing 40%+).</w:t>
      </w:r>
      <w:r>
        <w:rPr>
          <w:rFonts w:ascii="Calibri" w:hAnsi="Calibri"/>
          <w:color w:val="525866"/>
          <w:sz w:val="22"/>
        </w:rPr>
      </w:r>
    </w:p>
    <w:p>
      <w:pPr>
        <w:pStyle w:val="ListBullet"/>
        <w:ind w:left="360" w:hanging="360"/>
      </w:pPr>
      <w:r>
        <w:rPr>
          <w:rFonts w:ascii="Calibri" w:hAnsi="Calibri"/>
          <w:color w:val="525866"/>
          <w:sz w:val="22"/>
        </w:rPr>
        <w:t>Salesforce noted "ongoing weakness in Marketing and Commerce and increased softness in Tableau" — a reminder that not all enterprise software segments are benefiting equally from AI tailwinds; IBM's Transaction Processing weakness in Q2 fits this pattern of uneven demand.</w:t>
      </w:r>
      <w:r>
        <w:rPr>
          <w:rFonts w:ascii="Calibri" w:hAnsi="Calibri"/>
          <w:color w:val="525866"/>
          <w:sz w:val="22"/>
        </w:rPr>
      </w:r>
    </w:p>
    <w:p>
      <w:pPr>
        <w:pStyle w:val="ListBullet"/>
        <w:ind w:left="360" w:hanging="360"/>
      </w:pPr>
      <w:r>
        <w:rPr>
          <w:rFonts w:ascii="Calibri" w:hAnsi="Calibri"/>
          <w:color w:val="525866"/>
          <w:sz w:val="22"/>
        </w:rPr>
        <w:t>Q2 FY27 revenue guidance of $11.27B-$11.35B (+10% CC) and CRPO growth of ~13% CC — suggests the enterprise software demand environment remains healthy for well-positioned vendors, which is constructive for IBM's Software segment recovery in H2.</w:t>
      </w:r>
      <w:r>
        <w:rPr>
          <w:rFonts w:ascii="Calibri" w:hAnsi="Calibri"/>
          <w:color w:val="525866"/>
          <w:sz w:val="22"/>
        </w:rPr>
      </w:r>
    </w:p>
    <w:p>
      <w:pPr>
        <w:pStyle w:val="Heading3"/>
      </w:pPr>
      <w:r>
        <w:rPr>
          <w:rFonts w:ascii="Calibri" w:hAnsi="Calibri"/>
          <w:b/>
          <w:color w:val="3B4259"/>
          <w:sz w:val="24"/>
        </w:rPr>
        <w:t>SAP — Q1 2026 Earnings (April 23, 2026) + Sapphire Conference (May 13, 2026) — MODERATE RELEVANCE</w:t>
      </w:r>
    </w:p>
    <w:p>
      <w:r>
        <w:rPr>
          <w:rFonts w:ascii="Calibri" w:hAnsi="Calibri"/>
          <w:b/>
          <w:color w:val="525866"/>
          <w:sz w:val="22"/>
        </w:rPr>
        <w:t xml:space="preserve">Read-through signal: </w:t>
      </w:r>
      <w:r>
        <w:rPr>
          <w:rFonts w:ascii="Calibri" w:hAnsi="Calibri"/>
          <w:color w:val="525866"/>
          <w:sz w:val="22"/>
        </w:rPr>
        <w:t>SAP's Q1 2026 results (cloud revenue +27%) and Sapphire commentary provide a constructive read-through for enterprise software demand, but with important caveats. SAP explicitly flagged that the Middle East conflict is creating deal disruption, with some customers reprioritizing to "immediate firefighting" — directly corroborating IBM's Q2 explanation. SAP also noted that AI migration tools are "reducing the budgets for SIs" (system integrators), which is a headwind read-through for IBM Consulting.</w:t>
      </w:r>
    </w:p>
    <w:p>
      <w:pPr>
        <w:pStyle w:val="ListBullet"/>
        <w:ind w:left="360" w:hanging="360"/>
      </w:pPr>
      <w:r>
        <w:rPr>
          <w:rFonts w:ascii="Calibri" w:hAnsi="Calibri"/>
          <w:color w:val="525866"/>
          <w:sz w:val="22"/>
        </w:rPr>
        <w:t>SAP's current cloud backlog +25% to €21.9B and public cloud order entry &gt;70% of quarterly volume — strong enterprise software demand, supportive of IBM's Software segment thesis.</w:t>
      </w:r>
      <w:r>
        <w:rPr>
          <w:rFonts w:ascii="Calibri" w:hAnsi="Calibri"/>
          <w:color w:val="525866"/>
          <w:sz w:val="22"/>
        </w:rPr>
      </w:r>
    </w:p>
    <w:p>
      <w:pPr>
        <w:pStyle w:val="ListBullet"/>
        <w:ind w:left="360" w:hanging="360"/>
      </w:pPr>
      <w:r>
        <w:rPr>
          <w:rFonts w:ascii="Calibri" w:hAnsi="Calibri"/>
          <w:color w:val="525866"/>
          <w:sz w:val="22"/>
        </w:rPr>
        <w:t>SAP noted AI ERP migration tools are accelerating customer migrations but reducing SI budgets — a structural headwind for IBM Consulting's SAP-related work, though IBM has its own AI migration tools (watsonx Code Assistant for Z).</w:t>
      </w:r>
      <w:r>
        <w:rPr>
          <w:rFonts w:ascii="Calibri" w:hAnsi="Calibri"/>
          <w:color w:val="525866"/>
          <w:sz w:val="22"/>
        </w:rPr>
      </w:r>
    </w:p>
    <w:p>
      <w:pPr>
        <w:pStyle w:val="ListBullet"/>
        <w:ind w:left="360" w:hanging="360"/>
      </w:pPr>
      <w:r>
        <w:rPr>
          <w:rFonts w:ascii="Calibri" w:hAnsi="Calibri"/>
          <w:color w:val="525866"/>
          <w:sz w:val="22"/>
        </w:rPr>
        <w:t>SAP expects cloud revenue growth to decelerate in Q2 2026 due to Q1 one-time effects — a reminder that even the strongest enterprise software vendors face quarterly volatility, providing some cover for IBM's Q2 Software miss.</w:t>
      </w:r>
      <w:r>
        <w:rPr>
          <w:rFonts w:ascii="Calibri" w:hAnsi="Calibri"/>
          <w:color w:val="525866"/>
          <w:sz w:val="22"/>
        </w:rPr>
      </w:r>
    </w:p>
    <w:p>
      <w:pPr>
        <w:pStyle w:val="Heading3"/>
      </w:pPr>
      <w:r>
        <w:rPr>
          <w:rFonts w:ascii="Calibri" w:hAnsi="Calibri"/>
          <w:b/>
          <w:color w:val="3B4259"/>
          <w:sz w:val="24"/>
        </w:rPr>
        <w:t>Microsoft (MSFT) — Q3 FY2026 Earnings (April 29, 2026) — LOWER DIRECT RELEVANCE, HIGH MACRO RELEVANCE</w:t>
      </w:r>
    </w:p>
    <w:p>
      <w:r>
        <w:rPr>
          <w:rFonts w:ascii="Calibri" w:hAnsi="Calibri"/>
          <w:b/>
          <w:color w:val="525866"/>
          <w:sz w:val="22"/>
        </w:rPr>
        <w:t xml:space="preserve">Read-through signal: </w:t>
      </w:r>
      <w:r>
        <w:rPr>
          <w:rFonts w:ascii="Calibri" w:hAnsi="Calibri"/>
          <w:color w:val="525866"/>
          <w:sz w:val="22"/>
        </w:rPr>
        <w:t>Microsoft's record Q3 FY26 — Microsoft Cloud &gt;$54B (+29% YoY), AI business ARR &gt;$37B (+123% YoY), Azure growth of 39%-40% CC guided for Q4 — is a strong positive macro read-through for enterprise AI demand. The most relevant signal for IBM is Microsoft's observation that IT budgets are being "reshaped by business outcomes making their way into IT budgets and potential reallocation from other operating expense line items" — suggesting AI spending is additive, not purely substitutive, which supports IBM's thesis that AI workloads drive incremental MIPS and software stack revenue.</w:t>
      </w:r>
    </w:p>
    <w:p>
      <w:pPr>
        <w:pStyle w:val="ListBullet"/>
        <w:ind w:left="360" w:hanging="360"/>
      </w:pPr>
      <w:r>
        <w:rPr>
          <w:rFonts w:ascii="Calibri" w:hAnsi="Calibri"/>
          <w:color w:val="525866"/>
          <w:sz w:val="22"/>
        </w:rPr>
        <w:t>Microsoft 365 Copilot seat adds +250% YoY with 20M+ paid seats — demonstrates that enterprise AI adoption at scale is real and accelerating, a positive backdrop for IBM's AI platform and watsonx products.</w:t>
      </w:r>
      <w:r>
        <w:rPr>
          <w:rFonts w:ascii="Calibri" w:hAnsi="Calibri"/>
          <w:color w:val="525866"/>
          <w:sz w:val="22"/>
        </w:rPr>
      </w:r>
    </w:p>
    <w:p>
      <w:pPr>
        <w:pStyle w:val="ListBullet"/>
        <w:ind w:left="360" w:hanging="360"/>
      </w:pPr>
      <w:r>
        <w:rPr>
          <w:rFonts w:ascii="Calibri" w:hAnsi="Calibri"/>
          <w:color w:val="525866"/>
          <w:sz w:val="22"/>
        </w:rPr>
        <w:t>Azure growth constrained by supply ("broad and growing customer demand continues to exceed available capacity") — a potential positive read-through for IBM's hybrid cloud positioning, as capacity-constrained public cloud may push some workloads back to on-premise/mainframe environments.</w:t>
      </w:r>
      <w:r>
        <w:rPr>
          <w:rFonts w:ascii="Calibri" w:hAnsi="Calibri"/>
          <w:color w:val="525866"/>
          <w:sz w:val="22"/>
        </w:rPr>
      </w:r>
    </w:p>
    <w:p>
      <w:pPr>
        <w:pStyle w:val="ListBullet"/>
        <w:ind w:left="360" w:hanging="360"/>
      </w:pPr>
      <w:r>
        <w:rPr>
          <w:rFonts w:ascii="Calibri" w:hAnsi="Calibri"/>
          <w:color w:val="525866"/>
          <w:sz w:val="22"/>
        </w:rPr>
        <w:t>Microsoft noted Dynamics 365 bookings impacted by customers balancing spend between per-seat and consumption models — a read-through for IBM's Transaction Processing and Software segment, where similar pricing model transitions may be creating near-term revenue timing issues.</w:t>
      </w:r>
      <w:r>
        <w:rPr>
          <w:rFonts w:ascii="Calibri" w:hAnsi="Calibri"/>
          <w:color w:val="525866"/>
          <w:sz w:val="22"/>
        </w:rPr>
      </w:r>
    </w:p>
    <w:p>
      <w:pPr>
        <w:pStyle w:val="Heading3"/>
      </w:pPr>
      <w:r>
        <w:rPr>
          <w:rFonts w:ascii="Calibri" w:hAnsi="Calibri"/>
          <w:b/>
          <w:color w:val="3B4259"/>
          <w:sz w:val="24"/>
        </w:rPr>
        <w:t>Wipro (WIT) — Q1 FY2027 Earnings Release (July 20, 2026) — LOWER RELEVANCE</w:t>
      </w:r>
    </w:p>
    <w:p>
      <w:r>
        <w:rPr>
          <w:rFonts w:ascii="Calibri" w:hAnsi="Calibri"/>
          <w:b/>
          <w:color w:val="525866"/>
          <w:sz w:val="22"/>
        </w:rPr>
        <w:t xml:space="preserve">Read-through signal: </w:t>
      </w:r>
      <w:r>
        <w:rPr>
          <w:rFonts w:ascii="Calibri" w:hAnsi="Calibri"/>
          <w:color w:val="525866"/>
          <w:sz w:val="22"/>
        </w:rPr>
        <w:t>Wipro's Q1 FY27 earnings release (for the quarter ended June 30, 2026 — the same calendar quarter as IBM's Q2 2026) provides the most contemporaneous peer data point. The release confirms Wipro is offering "AI-powered IT and IT-enabled services" across consulting, modernization, and infrastructure — consistent with the broader IT services competitive landscape IBM Consulting operates in. However, the release did not contain detailed forward-looking commentary or macro color, limiting its read-through value. The fact that Wipro reported without flagging extraordinary disruptions is a mild positive signal that the IT services environment, while challenging, did not deteriorate further in June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IBM's July 14 pre-announcement of a Q2 revenue miss, driven by Z mainframe shortfall, capex reprioritization, and deal slippage — a combination of macro headwinds and self-admitted execution failure. The Lightwell launch and Anderon quantum foundry announcement are strategically significant but did not prevent the Q2 disappointment.</w:t>
      </w:r>
    </w:p>
    <w:p>
      <w:pPr>
        <w:pStyle w:val="ListBullet"/>
        <w:ind w:left="360" w:hanging="360"/>
      </w:pPr>
      <w:r>
        <w:rPr>
          <w:rFonts w:ascii="Calibri" w:hAnsi="Calibri"/>
          <w:b/>
          <w:color w:val="525866"/>
          <w:sz w:val="22"/>
        </w:rPr>
        <w:t xml:space="preserve">July 14, 2026 — IBM Pre-Announces Q2 2026 Results (MOST MATERIAL): </w:t>
      </w:r>
      <w:r>
        <w:rPr>
          <w:rFonts w:ascii="Calibri" w:hAnsi="Calibri"/>
          <w:color w:val="525866"/>
          <w:sz w:val="22"/>
        </w:rPr>
        <w:t xml:space="preserve">IBM released selected preliminary Q2 results ahead of the July 22 earnings call. Revenue of $17.2B (+1% YoY) missed consensus of ~$17.4B. CEO Arvind Krishna explicitly stated IBM "faltered" and "did not adapt and move quickly enough," with numerous large deals failing to close on expected timelines. Infrastructure down 7% (worse than the low-single-digit decline guided), Software up only 5% (vs. 10%+ FY target), Consulting flat. Operating EPS of $2.93 (+5% YoY) was a slight beat. </w:t>
      </w:r>
    </w:p>
    <w:p>
      <w:pPr>
        <w:pStyle w:val="ListBullet"/>
        <w:ind w:left="360" w:hanging="360"/>
      </w:pPr>
      <w:r>
        <w:rPr>
          <w:rFonts w:ascii="Calibri" w:hAnsi="Calibri"/>
          <w:b/>
          <w:color w:val="525866"/>
          <w:sz w:val="22"/>
        </w:rPr>
        <w:t xml:space="preserve">Implication: </w:t>
      </w:r>
      <w:r>
        <w:rPr>
          <w:rFonts w:ascii="Calibri" w:hAnsi="Calibri"/>
          <w:color w:val="525866"/>
          <w:sz w:val="22"/>
        </w:rPr>
        <w:t>The pre-announcement removes headline uncertainty but shifts all focus to the July 22 call for full-year guidance revision and management credibility assessment.</w:t>
      </w:r>
    </w:p>
    <w:p>
      <w:pPr>
        <w:pStyle w:val="ListBullet"/>
        <w:ind w:left="360" w:hanging="360"/>
      </w:pPr>
      <w:r>
        <w:rPr>
          <w:rFonts w:ascii="Calibri" w:hAnsi="Calibri"/>
          <w:b/>
          <w:color w:val="525866"/>
          <w:sz w:val="22"/>
        </w:rPr>
        <w:t xml:space="preserve">July 8, 2026 — Lightwell General Availability Announced: </w:t>
      </w:r>
      <w:r>
        <w:rPr>
          <w:rFonts w:ascii="Calibri" w:hAnsi="Calibri"/>
          <w:color w:val="525866"/>
          <w:sz w:val="22"/>
        </w:rPr>
        <w:t xml:space="preserve">IBM launched Lightwell, a $5B commitment backed by 20,000+ engineers to create a "trusted enterprise clearinghouse" for open-source software vulnerabilities. Early adopters include Bank of America, BNY, Citi, Goldman Sachs, JPMorganChase, Mastercard, Morgan Stanley, Royal Bank of Canada, State Street, Visa, and Wells Fargo. </w:t>
      </w:r>
    </w:p>
    <w:p>
      <w:pPr>
        <w:pStyle w:val="ListBullet"/>
        <w:ind w:left="360" w:hanging="360"/>
      </w:pPr>
      <w:r>
        <w:rPr>
          <w:rFonts w:ascii="Calibri" w:hAnsi="Calibri"/>
          <w:b/>
          <w:color w:val="525866"/>
          <w:sz w:val="22"/>
        </w:rPr>
        <w:t xml:space="preserve">Implication: </w:t>
      </w:r>
      <w:r>
        <w:rPr>
          <w:rFonts w:ascii="Calibri" w:hAnsi="Calibri"/>
          <w:color w:val="525866"/>
          <w:sz w:val="22"/>
        </w:rPr>
        <w:t>Lightwell is a significant new business initiative targeting the cybersecurity/open-source vulnerability market, with blue-chip financial institution adoption. It validates IBM's enterprise AI and security positioning but is too early-stage to impact Q2 financials.</w:t>
      </w:r>
    </w:p>
    <w:p>
      <w:pPr>
        <w:pStyle w:val="ListBullet"/>
        <w:ind w:left="360" w:hanging="360"/>
      </w:pPr>
      <w:r>
        <w:rPr>
          <w:rFonts w:ascii="Calibri" w:hAnsi="Calibri"/>
          <w:b/>
          <w:color w:val="525866"/>
          <w:sz w:val="22"/>
        </w:rPr>
        <w:t xml:space="preserve">June 23, 2026 — IBM Extends $10B Credit Facilities by One Year (8-K): </w:t>
      </w:r>
      <w:r>
        <w:rPr>
          <w:rFonts w:ascii="Calibri" w:hAnsi="Calibri"/>
          <w:color w:val="525866"/>
          <w:sz w:val="22"/>
        </w:rPr>
        <w:t xml:space="preserve">IBM extended the maturity on its $10 billion credit facilities by one year. </w:t>
      </w:r>
    </w:p>
    <w:p>
      <w:pPr>
        <w:pStyle w:val="ListBullet"/>
        <w:ind w:left="360" w:hanging="360"/>
      </w:pPr>
      <w:r>
        <w:rPr>
          <w:rFonts w:ascii="Calibri" w:hAnsi="Calibri"/>
          <w:b/>
          <w:color w:val="525866"/>
          <w:sz w:val="22"/>
        </w:rPr>
        <w:t xml:space="preserve">Implication: </w:t>
      </w:r>
      <w:r>
        <w:rPr>
          <w:rFonts w:ascii="Calibri" w:hAnsi="Calibri"/>
          <w:color w:val="525866"/>
          <w:sz w:val="22"/>
        </w:rPr>
        <w:t>Proactive balance sheet management; provides financial flexibility for M&amp;A (management flagged H2 2026 as a potential window for additional acquisitions) and supports the dividend. Neutral to slightly positive.</w:t>
      </w:r>
    </w:p>
    <w:p>
      <w:pPr>
        <w:pStyle w:val="ListBullet"/>
        <w:ind w:left="360" w:hanging="360"/>
      </w:pPr>
      <w:r>
        <w:rPr>
          <w:rFonts w:ascii="Calibri" w:hAnsi="Calibri"/>
          <w:b/>
          <w:color w:val="525866"/>
          <w:sz w:val="22"/>
        </w:rPr>
        <w:t xml:space="preserve">May 2026 — Anderon Quantum Foundry Announcement (Letter of Intent with U.S. DoC): </w:t>
      </w:r>
      <w:r>
        <w:rPr>
          <w:rFonts w:ascii="Calibri" w:hAnsi="Calibri"/>
          <w:color w:val="525866"/>
          <w:sz w:val="22"/>
        </w:rPr>
        <w:t xml:space="preserve">IBM and the U.S. Department of Commerce announced a Letter of Intent to build Anderon, the world's first pure-play quantum wafer foundry, supported by $1B in CHIPS Act incentives and $1B IBM cash contribution. IBM also disclosed plans to invest more than $10B in quantum over five years. </w:t>
      </w:r>
    </w:p>
    <w:p>
      <w:pPr>
        <w:pStyle w:val="ListBullet"/>
        <w:ind w:left="360" w:hanging="360"/>
      </w:pPr>
      <w:r>
        <w:rPr>
          <w:rFonts w:ascii="Calibri" w:hAnsi="Calibri"/>
          <w:b/>
          <w:color w:val="525866"/>
          <w:sz w:val="22"/>
        </w:rPr>
        <w:t xml:space="preserve">Implication: </w:t>
      </w:r>
      <w:r>
        <w:rPr>
          <w:rFonts w:ascii="Calibri" w:hAnsi="Calibri"/>
          <w:color w:val="525866"/>
          <w:sz w:val="22"/>
        </w:rPr>
        <w:t>Strategically significant long-term investment; reinforces IBM's quantum leadership positioning. Near-term financial impact is limited (capex commitment is multi-year), but the announcement drove significant stock enthusiasm in late May/early June before the Q2 miss reversed those gains.</w:t>
      </w:r>
    </w:p>
    <w:p>
      <w:pPr>
        <w:pStyle w:val="ListBullet"/>
        <w:ind w:left="360" w:hanging="360"/>
      </w:pPr>
      <w:r>
        <w:rPr>
          <w:rFonts w:ascii="Calibri" w:hAnsi="Calibri"/>
          <w:b/>
          <w:color w:val="525866"/>
          <w:sz w:val="22"/>
        </w:rPr>
        <w:t xml:space="preserve">May 11-12, 2026 — Red Hat Summit / IBM Think 2026 Announcements: </w:t>
      </w:r>
      <w:r>
        <w:rPr>
          <w:rFonts w:ascii="Calibri" w:hAnsi="Calibri"/>
          <w:color w:val="525866"/>
          <w:sz w:val="22"/>
        </w:rPr>
        <w:t xml:space="preserve">Red Hat launched Ansible Automation Platform as the "trusted execution layer for IT operations in an agentic era," new developer tools for agentic AI, and major advancements to Red Hat AI. IBM Think 2026 featured CEO Arvind Krishna outlining how AI and quantum will define the enterprise. </w:t>
      </w:r>
    </w:p>
    <w:p>
      <w:pPr>
        <w:pStyle w:val="ListBullet"/>
        <w:ind w:left="360" w:hanging="360"/>
      </w:pPr>
      <w:r>
        <w:rPr>
          <w:rFonts w:ascii="Calibri" w:hAnsi="Calibri"/>
          <w:b/>
          <w:color w:val="525866"/>
          <w:sz w:val="22"/>
        </w:rPr>
        <w:t xml:space="preserve">Implication: </w:t>
      </w:r>
      <w:r>
        <w:rPr>
          <w:rFonts w:ascii="Calibri" w:hAnsi="Calibri"/>
          <w:color w:val="525866"/>
          <w:sz w:val="22"/>
        </w:rPr>
        <w:t>Positive for Red Hat's competitive positioning in the agentic AI infrastructure market. Red Hat's sequential re-acceleration to 11% growth in Q2 (per pre-announcement) validates the product momentum from these launches.</w:t>
      </w:r>
    </w:p>
    <w:p>
      <w:pPr>
        <w:pStyle w:val="ListBullet"/>
        <w:ind w:left="360" w:hanging="360"/>
      </w:pPr>
      <w:r>
        <w:rPr>
          <w:rFonts w:ascii="Calibri" w:hAnsi="Calibri"/>
          <w:b/>
          <w:color w:val="525866"/>
          <w:sz w:val="22"/>
        </w:rPr>
        <w:t xml:space="preserve">May 1, 2026 — IBM Shareholders Approve New Long-Term Performance Plan (8-K): </w:t>
      </w:r>
      <w:r>
        <w:rPr>
          <w:rFonts w:ascii="Calibri" w:hAnsi="Calibri"/>
          <w:color w:val="525866"/>
          <w:sz w:val="22"/>
        </w:rPr>
        <w:t xml:space="preserve">IBM shareholders approved a new long-term performance plan and elected directors at the annual meeting. </w:t>
      </w:r>
    </w:p>
    <w:p>
      <w:pPr>
        <w:pStyle w:val="ListBullet"/>
        <w:ind w:left="360" w:hanging="360"/>
      </w:pPr>
      <w:r>
        <w:rPr>
          <w:rFonts w:ascii="Calibri" w:hAnsi="Calibri"/>
          <w:b/>
          <w:color w:val="525866"/>
          <w:sz w:val="22"/>
        </w:rPr>
        <w:t xml:space="preserve">Implication: </w:t>
      </w:r>
      <w:r>
        <w:rPr>
          <w:rFonts w:ascii="Calibri" w:hAnsi="Calibri"/>
          <w:color w:val="525866"/>
          <w:sz w:val="22"/>
        </w:rPr>
        <w:t>Routine governance; confirms shareholder alignment with management's long-term strategy. No material financial impact.</w:t>
      </w:r>
    </w:p>
    <w:p>
      <w:pPr>
        <w:pStyle w:val="ListBullet"/>
        <w:ind w:left="360" w:hanging="360"/>
      </w:pPr>
      <w:r>
        <w:rPr>
          <w:rFonts w:ascii="Calibri" w:hAnsi="Calibri"/>
          <w:b/>
          <w:color w:val="525866"/>
          <w:sz w:val="22"/>
        </w:rPr>
        <w:t xml:space="preserve">April 22, 2026 — Q1 2026 Earnings Beat / Stock Declined: </w:t>
      </w:r>
      <w:r>
        <w:rPr>
          <w:rFonts w:ascii="Calibri" w:hAnsi="Calibri"/>
          <w:color w:val="525866"/>
          <w:sz w:val="22"/>
        </w:rPr>
        <w:t xml:space="preserve">IBM beat on all major Q1 metrics (revenue +6%, Op. EPS $1.91 vs. $1.80 consensus, FCF $2.22B +13% YoY) but held full-year guidance unchanged, citing macro prudence. Stock declined ~8% on the day. </w:t>
      </w:r>
    </w:p>
    <w:p>
      <w:pPr>
        <w:pStyle w:val="ListBullet"/>
        <w:ind w:left="360" w:hanging="360"/>
      </w:pPr>
      <w:r>
        <w:rPr>
          <w:rFonts w:ascii="Calibri" w:hAnsi="Calibri"/>
          <w:b/>
          <w:color w:val="525866"/>
          <w:sz w:val="22"/>
        </w:rPr>
        <w:t xml:space="preserve">Implication: </w:t>
      </w:r>
      <w:r>
        <w:rPr>
          <w:rFonts w:ascii="Calibri" w:hAnsi="Calibri"/>
          <w:color w:val="525866"/>
          <w:sz w:val="22"/>
        </w:rPr>
        <w:t>Set the stage for the Q2 disappointment — management's decision not to raise guidance despite a strong Q1 now looks prescient given the Q2 miss, but also raises questions about whether management had early visibility into Q2 headwinds.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in the period since Q1 earnings. The only Form 4 activity consists of routine director compensation share awards and a standard RSU vesting/tax withholding event for SVP Anne Robinson — nothing that signals unusual insider conviction or concern heading into the Q2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Robinson, Anne</w:t>
            </w:r>
          </w:p>
        </w:tc>
        <w:tc>
          <w:tcPr>
            <w:tcW w:type="dxa" w:w="1440"/>
          </w:tcPr>
          <w:p>
            <w:r>
              <w:rPr>
                <w:rFonts w:ascii="Calibri" w:hAnsi="Calibri"/>
                <w:sz w:val="22"/>
              </w:rPr>
              <w:t>Senior Vice President</w:t>
            </w:r>
          </w:p>
        </w:tc>
        <w:tc>
          <w:tcPr>
            <w:tcW w:type="dxa" w:w="1440"/>
          </w:tcPr>
          <w:p>
            <w:r>
              <w:rPr>
                <w:rFonts w:ascii="Calibri" w:hAnsi="Calibri"/>
                <w:sz w:val="22"/>
              </w:rPr>
              <w:t>RSU Vesting (M) + Tax Withholding (F)</w:t>
            </w:r>
          </w:p>
        </w:tc>
        <w:tc>
          <w:tcPr>
            <w:tcW w:type="dxa" w:w="1440"/>
          </w:tcPr>
          <w:p>
            <w:r>
              <w:rPr>
                <w:rFonts w:ascii="Calibri" w:hAnsi="Calibri"/>
                <w:sz w:val="22"/>
              </w:rPr>
              <w:t>7,295 shares vested; 4,035 shares withheld for taxes</w:t>
            </w:r>
          </w:p>
        </w:tc>
        <w:tc>
          <w:tcPr>
            <w:tcW w:type="dxa" w:w="1440"/>
          </w:tcPr>
          <w:p>
            <w:r>
              <w:rPr>
                <w:rFonts w:ascii="Calibri" w:hAnsi="Calibri"/>
                <w:sz w:val="22"/>
              </w:rPr>
              <w:t>July 1, 2026</w:t>
            </w:r>
          </w:p>
        </w:tc>
        <w:tc>
          <w:tcPr>
            <w:tcW w:type="dxa" w:w="1440"/>
          </w:tcPr>
          <w:p>
            <w:r>
              <w:rPr>
                <w:rFonts w:ascii="Calibri" w:hAnsi="Calibri"/>
                <w:sz w:val="22"/>
              </w:rPr>
              <w:t>Routine RSU vesting event; tax withholding (code F) is obligation-driven, not a discretionary sale. Net acquisition of 3,260 shares.</w:t>
            </w:r>
          </w:p>
        </w:tc>
      </w:tr>
      <w:tr>
        <w:tc>
          <w:tcPr>
            <w:tcW w:type="dxa" w:w="1440"/>
          </w:tcPr>
          <w:p>
            <w:r>
              <w:rPr>
                <w:rFonts w:ascii="Calibri" w:hAnsi="Calibri"/>
                <w:sz w:val="22"/>
              </w:rPr>
              <w:t>Fehring, Nicolas A.</w:t>
            </w:r>
          </w:p>
        </w:tc>
        <w:tc>
          <w:tcPr>
            <w:tcW w:type="dxa" w:w="1440"/>
          </w:tcPr>
          <w:p>
            <w:r>
              <w:rPr>
                <w:rFonts w:ascii="Calibri" w:hAnsi="Calibri"/>
                <w:sz w:val="22"/>
              </w:rPr>
              <w:t>VP, Controller</w:t>
            </w:r>
          </w:p>
        </w:tc>
        <w:tc>
          <w:tcPr>
            <w:tcW w:type="dxa" w:w="1440"/>
          </w:tcPr>
          <w:p>
            <w:r>
              <w:rPr>
                <w:rFonts w:ascii="Calibri" w:hAnsi="Calibri"/>
                <w:sz w:val="22"/>
              </w:rPr>
              <w:t>Gift (G)</w:t>
            </w:r>
          </w:p>
        </w:tc>
        <w:tc>
          <w:tcPr>
            <w:tcW w:type="dxa" w:w="1440"/>
          </w:tcPr>
          <w:p>
            <w:r>
              <w:rPr>
                <w:rFonts w:ascii="Calibri" w:hAnsi="Calibri"/>
                <w:sz w:val="22"/>
              </w:rPr>
              <w:t>400 shares gifted</w:t>
            </w:r>
          </w:p>
        </w:tc>
        <w:tc>
          <w:tcPr>
            <w:tcW w:type="dxa" w:w="1440"/>
          </w:tcPr>
          <w:p>
            <w:r>
              <w:rPr>
                <w:rFonts w:ascii="Calibri" w:hAnsi="Calibri"/>
                <w:sz w:val="22"/>
              </w:rPr>
              <w:t>June 4, 2026</w:t>
            </w:r>
          </w:p>
        </w:tc>
        <w:tc>
          <w:tcPr>
            <w:tcW w:type="dxa" w:w="1440"/>
          </w:tcPr>
          <w:p>
            <w:r>
              <w:rPr>
                <w:rFonts w:ascii="Calibri" w:hAnsi="Calibri"/>
                <w:sz w:val="22"/>
              </w:rPr>
              <w:t>Charitable or personal gift; not an open-market sale. No economic signal.</w:t>
            </w:r>
          </w:p>
        </w:tc>
      </w:tr>
      <w:tr>
        <w:tc>
          <w:tcPr>
            <w:tcW w:type="dxa" w:w="1440"/>
          </w:tcPr>
          <w:p>
            <w:r>
              <w:rPr>
                <w:rFonts w:ascii="Calibri" w:hAnsi="Calibri"/>
                <w:sz w:val="22"/>
              </w:rPr>
              <w:t>Multiple Directors (11 individuals)</w:t>
            </w:r>
          </w:p>
        </w:tc>
        <w:tc>
          <w:tcPr>
            <w:tcW w:type="dxa" w:w="1440"/>
          </w:tcPr>
          <w:p>
            <w:r>
              <w:rPr>
                <w:rFonts w:ascii="Calibri" w:hAnsi="Calibri"/>
                <w:sz w:val="22"/>
              </w:rPr>
              <w:t>Board of Directors</w:t>
            </w:r>
          </w:p>
        </w:tc>
        <w:tc>
          <w:tcPr>
            <w:tcW w:type="dxa" w:w="1440"/>
          </w:tcPr>
          <w:p>
            <w:r>
              <w:rPr>
                <w:rFonts w:ascii="Calibri" w:hAnsi="Calibri"/>
                <w:sz w:val="22"/>
              </w:rPr>
              <w:t>Director Compensation Award (A)</w:t>
            </w:r>
          </w:p>
        </w:tc>
        <w:tc>
          <w:tcPr>
            <w:tcW w:type="dxa" w:w="1440"/>
          </w:tcPr>
          <w:p>
            <w:r>
              <w:rPr>
                <w:rFonts w:ascii="Calibri" w:hAnsi="Calibri"/>
                <w:sz w:val="22"/>
              </w:rPr>
              <w:t>209–383 shares each (routine quarterly fee shares)</w:t>
            </w:r>
          </w:p>
        </w:tc>
        <w:tc>
          <w:tcPr>
            <w:tcW w:type="dxa" w:w="1440"/>
          </w:tcPr>
          <w:p>
            <w:r>
              <w:rPr>
                <w:rFonts w:ascii="Calibri" w:hAnsi="Calibri"/>
                <w:sz w:val="22"/>
              </w:rPr>
              <w:t>June 30, 2026</w:t>
            </w:r>
          </w:p>
        </w:tc>
        <w:tc>
          <w:tcPr>
            <w:tcW w:type="dxa" w:w="1440"/>
          </w:tcPr>
          <w:p>
            <w:r>
              <w:rPr>
                <w:rFonts w:ascii="Calibri" w:hAnsi="Calibri"/>
                <w:sz w:val="22"/>
              </w:rPr>
              <w:t>Routine quarterly director compensation in the form of promised fee shares. Not open-market transactions; no economic signal.</w:t>
            </w:r>
          </w:p>
        </w:tc>
      </w:tr>
    </w:tbl>
    <w:p>
      <w:r>
        <w:rPr>
          <w:rFonts w:ascii="Calibri" w:hAnsi="Calibri"/>
          <w:i/>
          <w:color w:val="525866"/>
          <w:sz w:val="22"/>
        </w:rPr>
        <w:t xml:space="preserve">Source: SEC Form 4 filings (Insider Transaction Data). Filing date window: April 22, 2026 – July 21, 2026. Only Form 4 transactions reported. </w:t>
      </w:r>
    </w:p>
    <w:p>
      <w:r>
        <w:rPr>
          <w:rFonts w:ascii="Calibri" w:hAnsi="Calibri"/>
          <w:b/>
          <w:color w:val="525866"/>
          <w:sz w:val="22"/>
        </w:rPr>
        <w:t xml:space="preserve">Assessment: </w:t>
      </w:r>
      <w:r>
        <w:rPr>
          <w:rFonts w:ascii="Calibri" w:hAnsi="Calibri"/>
          <w:color w:val="525866"/>
          <w:sz w:val="22"/>
        </w:rPr>
        <w:t>There are no open-market buys (code P) or discretionary open-market sells (code S) by any IBM executive or director in the period since Q1 earnings. The absence of insider buying ahead of the Q2 print — particularly given the stock's sharp decline from its June peak — is notable but not necessarily alarming, as insiders would have been in a blackout period ahead of the July 14 pre-announcement and July 22 earnings call. The lack of any 10b5-1 plan initiations or large discretionary sales is a neutral signal. Investors should watch for any post-earnings insider buying as a potential confidence signal from management.</w:t>
      </w:r>
    </w:p>
    <w:p>
      <w:r>
        <w:rPr>
          <w:rFonts w:ascii="Calibri" w:hAnsi="Calibri"/>
          <w:b/>
          <w:color w:val="525866"/>
          <w:sz w:val="22"/>
        </w:rPr>
        <w:t xml:space="preserve">Directors receiving fee shares: </w:t>
      </w:r>
      <w:r>
        <w:rPr>
          <w:rFonts w:ascii="Calibri" w:hAnsi="Calibri"/>
          <w:color w:val="525866"/>
          <w:sz w:val="22"/>
        </w:rPr>
        <w:t>Brown Marianne Catherine (325 shares), Buberl Thomas (341 shares), Farr David N. (209 shares), Gorsky Alex (383 shares), Howard Michelle J. (228 shares), Laguarta Ramon (325 shares), Liveris Andrew N. (347 shares), McNabb Frederick William III (325 shares), Miebach Michael (325 shares), Pollack Martha E. (209 shares), Voser Peter R. (356 shares), Zollar Alfred W. (325 shares). All are routine quarterly director compensation awards (code A), not open-market purchases.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