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IBM (IBM)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International Business Machines Corporation (IBM)</w:t>
            </w:r>
          </w:p>
        </w:tc>
      </w:tr>
      <w:tr>
        <w:tc>
          <w:tcPr>
            <w:tcW w:type="dxa" w:w="4320"/>
          </w:tcPr>
          <w:p>
            <w:r>
              <w:rPr>
                <w:rFonts w:ascii="Calibri" w:hAnsi="Calibri"/>
                <w:b/>
                <w:sz w:val="22"/>
              </w:rPr>
              <w:t>Upcoming Earnings Date</w:t>
            </w:r>
          </w:p>
        </w:tc>
        <w:tc>
          <w:tcPr>
            <w:tcW w:type="dxa" w:w="4320"/>
          </w:tcPr>
          <w:p>
            <w:r>
              <w:rPr>
                <w:rFonts w:ascii="Calibri" w:hAnsi="Calibri"/>
                <w:sz w:val="22"/>
              </w:rPr>
              <w:t>July 22, 2026 —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Analyst Consensus EPS (Adj.)</w:t>
            </w:r>
          </w:p>
        </w:tc>
        <w:tc>
          <w:tcPr>
            <w:tcW w:type="dxa" w:w="4320"/>
          </w:tcPr>
          <w:p>
            <w:r>
              <w:rPr>
                <w:rFonts w:ascii="Calibri" w:hAnsi="Calibri"/>
                <w:sz w:val="22"/>
              </w:rPr>
              <w:t>$2.92 (post-preannouncement, down from ~$2.97 pre-event)</w:t>
            </w:r>
          </w:p>
        </w:tc>
      </w:tr>
      <w:tr>
        <w:tc>
          <w:tcPr>
            <w:tcW w:type="dxa" w:w="4320"/>
          </w:tcPr>
          <w:p>
            <w:r>
              <w:rPr>
                <w:rFonts w:ascii="Calibri" w:hAnsi="Calibri"/>
                <w:b/>
                <w:sz w:val="22"/>
              </w:rPr>
              <w:t>Analyst Consensus Revenue</w:t>
            </w:r>
          </w:p>
        </w:tc>
        <w:tc>
          <w:tcPr>
            <w:tcW w:type="dxa" w:w="4320"/>
          </w:tcPr>
          <w:p>
            <w:r>
              <w:rPr>
                <w:rFonts w:ascii="Calibri" w:hAnsi="Calibri"/>
                <w:sz w:val="22"/>
              </w:rPr>
              <w:t>$17.48B (post-preannouncement, down from ~$17.83B pre-event)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IBM pre-announced a significant Q2 miss on July 14, triggering a historic 25% single-day stock collapse — the bar heading into the July 22 call is now reset to the pre-announced figures ($17.2B revenue, $2.93 adj. EPS), but the real swing factor is whether management can credibly frame the capex-reprioritization headwind as transient and provide a convincing full-year guidance update.</w:t>
      </w:r>
    </w:p>
    <w:p>
      <w:r>
        <w:rPr>
          <w:rFonts w:ascii="Calibri" w:hAnsi="Calibri"/>
          <w:color w:val="525866"/>
          <w:sz w:val="22"/>
        </w:rPr>
        <w:t xml:space="preserve">IBM enters its Q2 2026 earnings call in an extraordinarily unusual position: the company has already pre-announced results via an 8-K filed July 14, 2026, revealing revenue of $17.2B (+1% YoY) and adjusted EPS of $2.93 (+5% YoY) — both materially below prior consensus of ~$17.86B and ~$3.02, respectively. The miss was driven by a late-June capex reprioritization by enterprise clients toward servers, storage, and memory to front-run AI-driven hardware inflation, compounding a shortfall in IBM Z mainframe performance and associated Transaction Processing software revenue; CEO Arvind Krishna acknowledged the company “faltered” and “did not adapt and move quickly enough.” </w:t>
      </w:r>
      <w:r>
        <w:rPr>
          <w:rFonts w:ascii="Calibri" w:hAnsi="Calibri"/>
          <w:b/>
          <w:color w:val="525866"/>
          <w:sz w:val="22"/>
        </w:rPr>
        <w:t>The stock has already absorbed a historic ~25% single-day decline</w:t>
      </w:r>
      <w:r>
        <w:rPr>
          <w:rFonts w:ascii="Calibri" w:hAnsi="Calibri"/>
          <w:color w:val="525866"/>
          <w:sz w:val="22"/>
        </w:rPr>
        <w:t xml:space="preserve"> (worst in IBM’s history), wiping ~$70B in market cap, so the bar for the formal call is now the pre-announced figures — any upside to those numbers or a credible full-year guidance framework could catalyze a relief rally, while a guidance cut or further deterioration in Software/Consulting would extend the selloff. </w:t>
      </w:r>
      <w:r>
        <w:rPr>
          <w:rFonts w:ascii="Calibri" w:hAnsi="Calibri"/>
          <w:b/>
          <w:color w:val="525866"/>
          <w:sz w:val="22"/>
        </w:rPr>
        <w:t>The single biggest wildcard is the magnitude and duration of the capex-shift headwind</w:t>
      </w:r>
      <w:r>
        <w:rPr>
          <w:rFonts w:ascii="Calibri" w:hAnsi="Calibri"/>
          <w:color w:val="525866"/>
          <w:sz w:val="22"/>
        </w:rPr>
        <w:t>: if management can demonstrate this was a one-quarter phenomenon (deal slippage + late-June hardware rush) rather than a structural reallocation of IT budgets away from software, the stock could stabilize; if the tone suggests a multi-quarter drag, the market will price in a more prolonged slowdown. Activist risk has also emerged, with IBM’s board reportedly aware of the stock’s vulnerability to a campaign.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bar is now set by the July 14 pre-announcement — consensus has reset to $17.48B revenue and $2.92 adj. EPS, slightly above the pre-announced actuals, leaving minimal room for upside surprise on the top line. </w:t>
      </w:r>
      <w:r>
        <w:rPr>
          <w:rFonts w:ascii="Calibri" w:hAnsi="Calibri"/>
          <w:b/>
          <w:color w:val="525866"/>
          <w:sz w:val="22"/>
        </w:rPr>
        <w:t>Software revenue growth (pre-announced at +5%) is the bigger swing factor</w:t>
      </w:r>
      <w:r>
        <w:rPr>
          <w:rFonts w:ascii="Calibri" w:hAnsi="Calibri"/>
          <w:color w:val="525866"/>
          <w:sz w:val="22"/>
        </w:rPr>
        <w:t xml:space="preserve"> given the Transaction Processing shortfall; Infrastructure at −7% was the primary miss driver.</w:t>
      </w:r>
    </w:p>
    <w:p>
      <w:pPr>
        <w:pStyle w:val="Heading3"/>
      </w:pPr>
      <w:r>
        <w:rPr>
          <w:rFonts w:ascii="Calibri" w:hAnsi="Calibri"/>
          <w:b/>
          <w:color w:val="3B4259"/>
          <w:sz w:val="24"/>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Pre-Announced /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$15.92B</w:t>
            </w:r>
          </w:p>
        </w:tc>
        <w:tc>
          <w:tcPr>
            <w:tcW w:type="dxa" w:w="1234"/>
          </w:tcPr>
          <w:p>
            <w:r>
              <w:rPr>
                <w:rFonts w:ascii="Calibri" w:hAnsi="Calibri"/>
                <w:sz w:val="22"/>
              </w:rPr>
              <w:t>$16.98B</w:t>
            </w:r>
          </w:p>
        </w:tc>
        <w:tc>
          <w:tcPr>
            <w:tcW w:type="dxa" w:w="1234"/>
          </w:tcPr>
          <w:p>
            <w:r>
              <w:rPr>
                <w:rFonts w:ascii="Calibri" w:hAnsi="Calibri"/>
                <w:sz w:val="22"/>
              </w:rPr>
              <w:t>$17.2B (pre-ann.) / $17.48B (cons.)</w:t>
            </w:r>
          </w:p>
        </w:tc>
        <w:tc>
          <w:tcPr>
            <w:tcW w:type="dxa" w:w="1234"/>
          </w:tcPr>
          <w:p>
            <w:r>
              <w:rPr>
                <w:rFonts w:ascii="Calibri" w:hAnsi="Calibri"/>
                <w:sz w:val="22"/>
              </w:rPr>
              <w:t>+1.3% (pre-ann.)</w:t>
            </w:r>
          </w:p>
        </w:tc>
        <w:tc>
          <w:tcPr>
            <w:tcW w:type="dxa" w:w="1234"/>
          </w:tcPr>
          <w:p>
            <w:r>
              <w:rPr>
                <w:rFonts w:ascii="Calibri" w:hAnsi="Calibri"/>
                <w:sz w:val="22"/>
              </w:rPr>
              <w:t>~5% CC growth (similar to FY)</w:t>
            </w:r>
          </w:p>
        </w:tc>
        <w:tc>
          <w:tcPr>
            <w:tcW w:type="dxa" w:w="1234"/>
          </w:tcPr>
          <w:p>
            <w:r>
              <w:rPr>
                <w:rFonts w:ascii="Calibri" w:hAnsi="Calibri"/>
                <w:sz w:val="22"/>
              </w:rPr>
              <w:t>Cons. below guidance midpoint</w:t>
            </w:r>
          </w:p>
        </w:tc>
      </w:tr>
      <w:tr>
        <w:tc>
          <w:tcPr>
            <w:tcW w:type="dxa" w:w="1234"/>
          </w:tcPr>
          <w:p>
            <w:r>
              <w:rPr>
                <w:rFonts w:ascii="Calibri" w:hAnsi="Calibri"/>
                <w:sz w:val="22"/>
              </w:rPr>
              <w:t>Adj. EPS — Diluted Operating ($)</w:t>
            </w:r>
          </w:p>
        </w:tc>
        <w:tc>
          <w:tcPr>
            <w:tcW w:type="dxa" w:w="1234"/>
          </w:tcPr>
          <w:p>
            <w:r>
              <w:rPr>
                <w:rFonts w:ascii="Calibri" w:hAnsi="Calibri"/>
                <w:sz w:val="22"/>
              </w:rPr>
              <w:t>$1.91</w:t>
            </w:r>
          </w:p>
        </w:tc>
        <w:tc>
          <w:tcPr>
            <w:tcW w:type="dxa" w:w="1234"/>
          </w:tcPr>
          <w:p>
            <w:r>
              <w:rPr>
                <w:rFonts w:ascii="Calibri" w:hAnsi="Calibri"/>
                <w:sz w:val="22"/>
              </w:rPr>
              <w:t>$2.80</w:t>
            </w:r>
          </w:p>
        </w:tc>
        <w:tc>
          <w:tcPr>
            <w:tcW w:type="dxa" w:w="1234"/>
          </w:tcPr>
          <w:p>
            <w:r>
              <w:rPr>
                <w:rFonts w:ascii="Calibri" w:hAnsi="Calibri"/>
                <w:sz w:val="22"/>
              </w:rPr>
              <w:t>$2.93 (pre-ann.) / $2.92 (cons.)</w:t>
            </w:r>
          </w:p>
        </w:tc>
        <w:tc>
          <w:tcPr>
            <w:tcW w:type="dxa" w:w="1234"/>
          </w:tcPr>
          <w:p>
            <w:r>
              <w:rPr>
                <w:rFonts w:ascii="Calibri" w:hAnsi="Calibri"/>
                <w:sz w:val="22"/>
              </w:rPr>
              <w:t>+4.6% (pre-ann.)</w:t>
            </w:r>
          </w:p>
        </w:tc>
        <w:tc>
          <w:tcPr>
            <w:tcW w:type="dxa" w:w="1234"/>
          </w:tcPr>
          <w:p>
            <w:r>
              <w:rPr>
                <w:rFonts w:ascii="Calibri" w:hAnsi="Calibri"/>
                <w:sz w:val="22"/>
              </w:rPr>
              <w:t>~50bps PTI margin expansion</w:t>
            </w:r>
          </w:p>
        </w:tc>
        <w:tc>
          <w:tcPr>
            <w:tcW w:type="dxa" w:w="1234"/>
          </w:tcPr>
          <w:p>
            <w:r>
              <w:rPr>
                <w:rFonts w:ascii="Calibri" w:hAnsi="Calibri"/>
                <w:sz w:val="22"/>
              </w:rPr>
              <w:t>Cons. roughly in line</w:t>
            </w:r>
          </w:p>
        </w:tc>
      </w:tr>
      <w:tr>
        <w:tc>
          <w:tcPr>
            <w:tcW w:type="dxa" w:w="1234"/>
          </w:tcPr>
          <w:p>
            <w:r>
              <w:rPr>
                <w:rFonts w:ascii="Calibri" w:hAnsi="Calibri"/>
                <w:sz w:val="22"/>
              </w:rPr>
              <w:t>Software Revenue ($B)</w:t>
            </w:r>
          </w:p>
        </w:tc>
        <w:tc>
          <w:tcPr>
            <w:tcW w:type="dxa" w:w="1234"/>
          </w:tcPr>
          <w:p>
            <w:r>
              <w:rPr>
                <w:rFonts w:ascii="Calibri" w:hAnsi="Calibri"/>
                <w:sz w:val="22"/>
              </w:rPr>
              <w:t>$7.05B</w:t>
            </w:r>
          </w:p>
        </w:tc>
        <w:tc>
          <w:tcPr>
            <w:tcW w:type="dxa" w:w="1234"/>
          </w:tcPr>
          <w:p>
            <w:r>
              <w:rPr>
                <w:rFonts w:ascii="Calibri" w:hAnsi="Calibri"/>
                <w:sz w:val="22"/>
              </w:rPr>
              <w:t>$7.39B</w:t>
            </w:r>
          </w:p>
        </w:tc>
        <w:tc>
          <w:tcPr>
            <w:tcW w:type="dxa" w:w="1234"/>
          </w:tcPr>
          <w:p>
            <w:r>
              <w:rPr>
                <w:rFonts w:ascii="Calibri" w:hAnsi="Calibri"/>
                <w:sz w:val="22"/>
              </w:rPr>
              <w:t>$7.94B (cons.)</w:t>
            </w:r>
          </w:p>
        </w:tc>
        <w:tc>
          <w:tcPr>
            <w:tcW w:type="dxa" w:w="1234"/>
          </w:tcPr>
          <w:p>
            <w:r>
              <w:rPr>
                <w:rFonts w:ascii="Calibri" w:hAnsi="Calibri"/>
                <w:sz w:val="22"/>
              </w:rPr>
              <w:t>+7.4% (cons.)</w:t>
            </w:r>
          </w:p>
        </w:tc>
        <w:tc>
          <w:tcPr>
            <w:tcW w:type="dxa" w:w="1234"/>
          </w:tcPr>
          <w:p>
            <w:r>
              <w:rPr>
                <w:rFonts w:ascii="Calibri" w:hAnsi="Calibri"/>
                <w:sz w:val="22"/>
              </w:rPr>
              <w:t>10%+ growth for FY; ~5% pre-ann. Q2</w:t>
            </w:r>
          </w:p>
        </w:tc>
        <w:tc>
          <w:tcPr>
            <w:tcW w:type="dxa" w:w="1234"/>
          </w:tcPr>
          <w:p>
            <w:r>
              <w:rPr>
                <w:rFonts w:ascii="Calibri" w:hAnsi="Calibri"/>
                <w:sz w:val="22"/>
              </w:rPr>
              <w:t>Cons. below pre-ann. actuals</w:t>
            </w:r>
          </w:p>
        </w:tc>
      </w:tr>
      <w:tr>
        <w:tc>
          <w:tcPr>
            <w:tcW w:type="dxa" w:w="1234"/>
          </w:tcPr>
          <w:p>
            <w:r>
              <w:rPr>
                <w:rFonts w:ascii="Calibri" w:hAnsi="Calibri"/>
                <w:sz w:val="22"/>
              </w:rPr>
              <w:t>Consulting Revenue ($B)</w:t>
            </w:r>
          </w:p>
        </w:tc>
        <w:tc>
          <w:tcPr>
            <w:tcW w:type="dxa" w:w="1234"/>
          </w:tcPr>
          <w:p>
            <w:r>
              <w:rPr>
                <w:rFonts w:ascii="Calibri" w:hAnsi="Calibri"/>
                <w:sz w:val="22"/>
              </w:rPr>
              <w:t>$5.27B</w:t>
            </w:r>
          </w:p>
        </w:tc>
        <w:tc>
          <w:tcPr>
            <w:tcW w:type="dxa" w:w="1234"/>
          </w:tcPr>
          <w:p>
            <w:r>
              <w:rPr>
                <w:rFonts w:ascii="Calibri" w:hAnsi="Calibri"/>
                <w:sz w:val="22"/>
              </w:rPr>
              <w:t>$5.31B</w:t>
            </w:r>
          </w:p>
        </w:tc>
        <w:tc>
          <w:tcPr>
            <w:tcW w:type="dxa" w:w="1234"/>
          </w:tcPr>
          <w:p>
            <w:r>
              <w:rPr>
                <w:rFonts w:ascii="Calibri" w:hAnsi="Calibri"/>
                <w:sz w:val="22"/>
              </w:rPr>
              <w:t>$5.38B (cons.)</w:t>
            </w:r>
          </w:p>
        </w:tc>
        <w:tc>
          <w:tcPr>
            <w:tcW w:type="dxa" w:w="1234"/>
          </w:tcPr>
          <w:p>
            <w:r>
              <w:rPr>
                <w:rFonts w:ascii="Calibri" w:hAnsi="Calibri"/>
                <w:sz w:val="22"/>
              </w:rPr>
              <w:t>+1.3% (cons.)</w:t>
            </w:r>
          </w:p>
        </w:tc>
        <w:tc>
          <w:tcPr>
            <w:tcW w:type="dxa" w:w="1234"/>
          </w:tcPr>
          <w:p>
            <w:r>
              <w:rPr>
                <w:rFonts w:ascii="Calibri" w:hAnsi="Calibri"/>
                <w:sz w:val="22"/>
              </w:rPr>
              <w:t>Low-to-mid single digits for FY</w:t>
            </w:r>
          </w:p>
        </w:tc>
        <w:tc>
          <w:tcPr>
            <w:tcW w:type="dxa" w:w="1234"/>
          </w:tcPr>
          <w:p>
            <w:r>
              <w:rPr>
                <w:rFonts w:ascii="Calibri" w:hAnsi="Calibri"/>
                <w:sz w:val="22"/>
              </w:rPr>
              <w:t>Cons. in line; pre-ann. flat (+1% CC)</w:t>
            </w:r>
          </w:p>
        </w:tc>
      </w:tr>
      <w:tr>
        <w:tc>
          <w:tcPr>
            <w:tcW w:type="dxa" w:w="1234"/>
          </w:tcPr>
          <w:p>
            <w:r>
              <w:rPr>
                <w:rFonts w:ascii="Calibri" w:hAnsi="Calibri"/>
                <w:sz w:val="22"/>
              </w:rPr>
              <w:t>Infrastructure Revenue ($B)</w:t>
            </w:r>
          </w:p>
        </w:tc>
        <w:tc>
          <w:tcPr>
            <w:tcW w:type="dxa" w:w="1234"/>
          </w:tcPr>
          <w:p>
            <w:r>
              <w:rPr>
                <w:rFonts w:ascii="Calibri" w:hAnsi="Calibri"/>
                <w:sz w:val="22"/>
              </w:rPr>
              <w:t>$3.33B</w:t>
            </w:r>
          </w:p>
        </w:tc>
        <w:tc>
          <w:tcPr>
            <w:tcW w:type="dxa" w:w="1234"/>
          </w:tcPr>
          <w:p>
            <w:r>
              <w:rPr>
                <w:rFonts w:ascii="Calibri" w:hAnsi="Calibri"/>
                <w:sz w:val="22"/>
              </w:rPr>
              <w:t>$4.14B</w:t>
            </w:r>
          </w:p>
        </w:tc>
        <w:tc>
          <w:tcPr>
            <w:tcW w:type="dxa" w:w="1234"/>
          </w:tcPr>
          <w:p>
            <w:r>
              <w:rPr>
                <w:rFonts w:ascii="Calibri" w:hAnsi="Calibri"/>
                <w:sz w:val="22"/>
              </w:rPr>
              <w:t>$3.91B (cons.)</w:t>
            </w:r>
          </w:p>
        </w:tc>
        <w:tc>
          <w:tcPr>
            <w:tcW w:type="dxa" w:w="1234"/>
          </w:tcPr>
          <w:p>
            <w:r>
              <w:rPr>
                <w:rFonts w:ascii="Calibri" w:hAnsi="Calibri"/>
                <w:sz w:val="22"/>
              </w:rPr>
              <w:t>−5.6% (cons.) / −7% (pre-ann.)</w:t>
            </w:r>
          </w:p>
        </w:tc>
        <w:tc>
          <w:tcPr>
            <w:tcW w:type="dxa" w:w="1234"/>
          </w:tcPr>
          <w:p>
            <w:r>
              <w:rPr>
                <w:rFonts w:ascii="Calibri" w:hAnsi="Calibri"/>
                <w:sz w:val="22"/>
              </w:rPr>
              <w:t>Down low single digits for FY</w:t>
            </w:r>
          </w:p>
        </w:tc>
        <w:tc>
          <w:tcPr>
            <w:tcW w:type="dxa" w:w="1234"/>
          </w:tcPr>
          <w:p>
            <w:r>
              <w:rPr>
                <w:rFonts w:ascii="Calibri" w:hAnsi="Calibri"/>
                <w:sz w:val="22"/>
              </w:rPr>
              <w:t>Pre-ann. worse than guidance</w:t>
            </w:r>
          </w:p>
        </w:tc>
      </w:tr>
      <w:tr>
        <w:tc>
          <w:tcPr>
            <w:tcW w:type="dxa" w:w="1234"/>
          </w:tcPr>
          <w:p>
            <w:r>
              <w:rPr>
                <w:rFonts w:ascii="Calibri" w:hAnsi="Calibri"/>
                <w:sz w:val="22"/>
              </w:rPr>
              <w:t>Free Cash Flow ($B)</w:t>
            </w:r>
          </w:p>
        </w:tc>
        <w:tc>
          <w:tcPr>
            <w:tcW w:type="dxa" w:w="1234"/>
          </w:tcPr>
          <w:p>
            <w:r>
              <w:rPr>
                <w:rFonts w:ascii="Calibri" w:hAnsi="Calibri"/>
                <w:sz w:val="22"/>
              </w:rPr>
              <w:t>$2.22B</w:t>
            </w:r>
          </w:p>
        </w:tc>
        <w:tc>
          <w:tcPr>
            <w:tcW w:type="dxa" w:w="1234"/>
          </w:tcPr>
          <w:p>
            <w:r>
              <w:rPr>
                <w:rFonts w:ascii="Calibri" w:hAnsi="Calibri"/>
                <w:sz w:val="22"/>
              </w:rPr>
              <w:t>$2.85B</w:t>
            </w:r>
          </w:p>
        </w:tc>
        <w:tc>
          <w:tcPr>
            <w:tcW w:type="dxa" w:w="1234"/>
          </w:tcPr>
          <w:p>
            <w:r>
              <w:rPr>
                <w:rFonts w:ascii="Calibri" w:hAnsi="Calibri"/>
                <w:sz w:val="22"/>
              </w:rPr>
              <w:t>$2.80B (cons.)</w:t>
            </w:r>
          </w:p>
        </w:tc>
        <w:tc>
          <w:tcPr>
            <w:tcW w:type="dxa" w:w="1234"/>
          </w:tcPr>
          <w:p>
            <w:r>
              <w:rPr>
                <w:rFonts w:ascii="Calibri" w:hAnsi="Calibri"/>
                <w:sz w:val="22"/>
              </w:rPr>
              <w:t>−1.8% (cons.)</w:t>
            </w:r>
          </w:p>
        </w:tc>
        <w:tc>
          <w:tcPr>
            <w:tcW w:type="dxa" w:w="1234"/>
          </w:tcPr>
          <w:p>
            <w:r>
              <w:rPr>
                <w:rFonts w:ascii="Calibri" w:hAnsi="Calibri"/>
                <w:sz w:val="22"/>
              </w:rPr>
              <w:t>~$15.7B for FY 2026</w:t>
            </w:r>
          </w:p>
        </w:tc>
        <w:tc>
          <w:tcPr>
            <w:tcW w:type="dxa" w:w="1234"/>
          </w:tcPr>
          <w:p>
            <w:r>
              <w:rPr>
                <w:rFonts w:ascii="Calibri" w:hAnsi="Calibri"/>
                <w:sz w:val="22"/>
              </w:rPr>
              <w:t>YTD FCF $4.8B (pre-ann.)</w:t>
            </w:r>
          </w:p>
        </w:tc>
      </w:tr>
      <w:tr>
        <w:tc>
          <w:tcPr>
            <w:tcW w:type="dxa" w:w="1234"/>
          </w:tcPr>
          <w:p>
            <w:r>
              <w:rPr>
                <w:rFonts w:ascii="Calibri" w:hAnsi="Calibri"/>
                <w:sz w:val="22"/>
              </w:rPr>
              <w:t>Gross Margin — Operating (%)</w:t>
            </w:r>
          </w:p>
        </w:tc>
        <w:tc>
          <w:tcPr>
            <w:tcW w:type="dxa" w:w="1234"/>
          </w:tcPr>
          <w:p>
            <w:r>
              <w:rPr>
                <w:rFonts w:ascii="Calibri" w:hAnsi="Calibri"/>
                <w:sz w:val="22"/>
              </w:rPr>
              <w:t>N/A — not separately disclosed</w:t>
            </w:r>
          </w:p>
        </w:tc>
        <w:tc>
          <w:tcPr>
            <w:tcW w:type="dxa" w:w="1234"/>
          </w:tcPr>
          <w:p>
            <w:r>
              <w:rPr>
                <w:rFonts w:ascii="Calibri" w:hAnsi="Calibri"/>
                <w:sz w:val="22"/>
              </w:rPr>
              <w:t>N/A</w:t>
            </w:r>
          </w:p>
        </w:tc>
        <w:tc>
          <w:tcPr>
            <w:tcW w:type="dxa" w:w="1234"/>
          </w:tcPr>
          <w:p>
            <w:r>
              <w:rPr>
                <w:rFonts w:ascii="Calibri" w:hAnsi="Calibri"/>
                <w:sz w:val="22"/>
              </w:rPr>
              <w:t>59.4% (pre-ann.)</w:t>
            </w:r>
          </w:p>
        </w:tc>
        <w:tc>
          <w:tcPr>
            <w:tcW w:type="dxa" w:w="1234"/>
          </w:tcPr>
          <w:p>
            <w:r>
              <w:rPr>
                <w:rFonts w:ascii="Calibri" w:hAnsi="Calibri"/>
                <w:sz w:val="22"/>
              </w:rPr>
              <w:t>−70bps YoY (pre-ann.)</w:t>
            </w:r>
          </w:p>
        </w:tc>
        <w:tc>
          <w:tcPr>
            <w:tcW w:type="dxa" w:w="1234"/>
          </w:tcPr>
          <w:p>
            <w:r>
              <w:rPr>
                <w:rFonts w:ascii="Calibri" w:hAnsi="Calibri"/>
                <w:sz w:val="22"/>
              </w:rPr>
              <w:t>~50bps PTI expansion</w:t>
            </w:r>
          </w:p>
        </w:tc>
        <w:tc>
          <w:tcPr>
            <w:tcW w:type="dxa" w:w="1234"/>
          </w:tcPr>
          <w:p>
            <w:r>
              <w:rPr>
                <w:rFonts w:ascii="Calibri" w:hAnsi="Calibri"/>
                <w:sz w:val="22"/>
              </w:rPr>
              <w:t>Margin held despite revenue miss</w:t>
            </w:r>
          </w:p>
        </w:tc>
      </w:tr>
    </w:tbl>
    <w:p>
      <w:r>
        <w:rPr>
          <w:rFonts w:ascii="Calibri" w:hAnsi="Calibri"/>
          <w:i/>
          <w:color w:val="525866"/>
          <w:sz w:val="22"/>
        </w:rPr>
        <w:t>Sources: Visible Alpha Consensus and Actuals Data; IBM 8-K Pre-Announcement (July 14, 2026); IBM Q1 2026 Earnings Call Transcript (April 22, 2026).</w:t>
      </w:r>
    </w:p>
    <w:p>
      <w:pPr>
        <w:pStyle w:val="Heading3"/>
      </w:pPr>
      <w:r>
        <w:rPr>
          <w:rFonts w:ascii="Calibri" w:hAnsi="Calibri"/>
          <w:b/>
          <w:color w:val="3B4259"/>
          <w:sz w:val="24"/>
        </w:rPr>
        <w:t>Table 2 — Beat/Miss History (Last 8 Quarters,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2026 (pre-ann.)</w:t>
            </w:r>
          </w:p>
        </w:tc>
        <w:tc>
          <w:tcPr>
            <w:tcW w:type="dxa" w:w="1440"/>
          </w:tcPr>
          <w:p>
            <w:r>
              <w:rPr>
                <w:rFonts w:ascii="Calibri" w:hAnsi="Calibri"/>
                <w:sz w:val="22"/>
              </w:rPr>
              <w:t>Revenue</w:t>
            </w:r>
          </w:p>
        </w:tc>
        <w:tc>
          <w:tcPr>
            <w:tcW w:type="dxa" w:w="1440"/>
          </w:tcPr>
          <w:p>
            <w:r>
              <w:rPr>
                <w:rFonts w:ascii="Calibri" w:hAnsi="Calibri"/>
                <w:sz w:val="22"/>
              </w:rPr>
              <w:t>$17.20B</w:t>
            </w:r>
          </w:p>
        </w:tc>
        <w:tc>
          <w:tcPr>
            <w:tcW w:type="dxa" w:w="1440"/>
          </w:tcPr>
          <w:p>
            <w:r>
              <w:rPr>
                <w:rFonts w:ascii="Calibri" w:hAnsi="Calibri"/>
                <w:sz w:val="22"/>
              </w:rPr>
              <w:t>$17.86B</w:t>
            </w:r>
          </w:p>
        </w:tc>
        <w:tc>
          <w:tcPr>
            <w:tcW w:type="dxa" w:w="1440"/>
          </w:tcPr>
          <w:p>
            <w:r>
              <w:rPr>
                <w:rFonts w:ascii="Calibri" w:hAnsi="Calibri"/>
                <w:b/>
                <w:color w:val="E5484D"/>
                <w:sz w:val="22"/>
              </w:rPr>
              <w:t>−3.7%</w:t>
            </w:r>
          </w:p>
        </w:tc>
        <w:tc>
          <w:tcPr>
            <w:tcW w:type="dxa" w:w="1440"/>
          </w:tcPr>
          <w:p>
            <w:r>
              <w:rPr>
                <w:rFonts w:ascii="Calibri" w:hAnsi="Calibri"/>
                <w:b/>
                <w:color w:val="E5484D"/>
                <w:sz w:val="22"/>
              </w:rPr>
              <w:t>MISS</w:t>
            </w:r>
          </w:p>
        </w:tc>
      </w:tr>
      <w:tr>
        <w:tc>
          <w:tcPr>
            <w:tcW w:type="dxa" w:w="1440"/>
          </w:tcPr>
          <w:p>
            <w:r>
              <w:rPr>
                <w:rFonts w:ascii="Calibri" w:hAnsi="Calibri"/>
                <w:sz w:val="22"/>
              </w:rPr>
              <w:t>Q2 2026 (pre-ann.)</w:t>
            </w:r>
          </w:p>
        </w:tc>
        <w:tc>
          <w:tcPr>
            <w:tcW w:type="dxa" w:w="1440"/>
          </w:tcPr>
          <w:p>
            <w:r>
              <w:rPr>
                <w:rFonts w:ascii="Calibri" w:hAnsi="Calibri"/>
                <w:sz w:val="22"/>
              </w:rPr>
              <w:t>Adj. EPS</w:t>
            </w:r>
          </w:p>
        </w:tc>
        <w:tc>
          <w:tcPr>
            <w:tcW w:type="dxa" w:w="1440"/>
          </w:tcPr>
          <w:p>
            <w:r>
              <w:rPr>
                <w:rFonts w:ascii="Calibri" w:hAnsi="Calibri"/>
                <w:sz w:val="22"/>
              </w:rPr>
              <w:t>$2.93</w:t>
            </w:r>
          </w:p>
        </w:tc>
        <w:tc>
          <w:tcPr>
            <w:tcW w:type="dxa" w:w="1440"/>
          </w:tcPr>
          <w:p>
            <w:r>
              <w:rPr>
                <w:rFonts w:ascii="Calibri" w:hAnsi="Calibri"/>
                <w:sz w:val="22"/>
              </w:rPr>
              <w:t>$3.02</w:t>
            </w:r>
          </w:p>
        </w:tc>
        <w:tc>
          <w:tcPr>
            <w:tcW w:type="dxa" w:w="1440"/>
          </w:tcPr>
          <w:p>
            <w:r>
              <w:rPr>
                <w:rFonts w:ascii="Calibri" w:hAnsi="Calibri"/>
                <w:b/>
                <w:color w:val="E5484D"/>
                <w:sz w:val="22"/>
              </w:rPr>
              <w:t>−3.0%</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$15.92B</w:t>
            </w:r>
          </w:p>
        </w:tc>
        <w:tc>
          <w:tcPr>
            <w:tcW w:type="dxa" w:w="1440"/>
          </w:tcPr>
          <w:p>
            <w:r>
              <w:rPr>
                <w:rFonts w:ascii="Calibri" w:hAnsi="Calibri"/>
                <w:sz w:val="22"/>
              </w:rPr>
              <w:t>$15.70B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$1.91</w:t>
            </w:r>
          </w:p>
        </w:tc>
        <w:tc>
          <w:tcPr>
            <w:tcW w:type="dxa" w:w="1440"/>
          </w:tcPr>
          <w:p>
            <w:r>
              <w:rPr>
                <w:rFonts w:ascii="Calibri" w:hAnsi="Calibri"/>
                <w:sz w:val="22"/>
              </w:rPr>
              <w:t>$1.80</w:t>
            </w:r>
          </w:p>
        </w:tc>
        <w:tc>
          <w:tcPr>
            <w:tcW w:type="dxa" w:w="1440"/>
          </w:tcPr>
          <w:p>
            <w:r>
              <w:rPr>
                <w:rFonts w:ascii="Calibri" w:hAnsi="Calibri"/>
                <w:b/>
                <w:color w:val="30A46C"/>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$19.69B</w:t>
            </w:r>
          </w:p>
        </w:tc>
        <w:tc>
          <w:tcPr>
            <w:tcW w:type="dxa" w:w="1440"/>
          </w:tcPr>
          <w:p>
            <w:r>
              <w:rPr>
                <w:rFonts w:ascii="Calibri" w:hAnsi="Calibri"/>
                <w:sz w:val="22"/>
              </w:rPr>
              <w:t>$19.21B</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$4.52</w:t>
            </w:r>
          </w:p>
        </w:tc>
        <w:tc>
          <w:tcPr>
            <w:tcW w:type="dxa" w:w="1440"/>
          </w:tcPr>
          <w:p>
            <w:r>
              <w:rPr>
                <w:rFonts w:ascii="Calibri" w:hAnsi="Calibri"/>
                <w:sz w:val="22"/>
              </w:rPr>
              <w:t>$4.30</w:t>
            </w:r>
          </w:p>
        </w:tc>
        <w:tc>
          <w:tcPr>
            <w:tcW w:type="dxa" w:w="1440"/>
          </w:tcPr>
          <w:p>
            <w:r>
              <w:rPr>
                <w:rFonts w:ascii="Calibri" w:hAnsi="Calibri"/>
                <w:b/>
                <w:color w:val="30A46C"/>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$16.33B</w:t>
            </w:r>
          </w:p>
        </w:tc>
        <w:tc>
          <w:tcPr>
            <w:tcW w:type="dxa" w:w="1440"/>
          </w:tcPr>
          <w:p>
            <w:r>
              <w:rPr>
                <w:rFonts w:ascii="Calibri" w:hAnsi="Calibri"/>
                <w:sz w:val="22"/>
              </w:rPr>
              <w:t>$16.10B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$2.65</w:t>
            </w:r>
          </w:p>
        </w:tc>
        <w:tc>
          <w:tcPr>
            <w:tcW w:type="dxa" w:w="1440"/>
          </w:tcPr>
          <w:p>
            <w:r>
              <w:rPr>
                <w:rFonts w:ascii="Calibri" w:hAnsi="Calibri"/>
                <w:sz w:val="22"/>
              </w:rPr>
              <w:t>$2.44</w:t>
            </w:r>
          </w:p>
        </w:tc>
        <w:tc>
          <w:tcPr>
            <w:tcW w:type="dxa" w:w="1440"/>
          </w:tcPr>
          <w:p>
            <w:r>
              <w:rPr>
                <w:rFonts w:ascii="Calibri" w:hAnsi="Calibri"/>
                <w:b/>
                <w:color w:val="30A46C"/>
                <w:sz w:val="22"/>
              </w:rPr>
              <w:t>+8.6%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$16.98B</w:t>
            </w:r>
          </w:p>
        </w:tc>
        <w:tc>
          <w:tcPr>
            <w:tcW w:type="dxa" w:w="1440"/>
          </w:tcPr>
          <w:p>
            <w:r>
              <w:rPr>
                <w:rFonts w:ascii="Calibri" w:hAnsi="Calibri"/>
                <w:sz w:val="22"/>
              </w:rPr>
              <w:t>$16.58B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$2.80</w:t>
            </w:r>
          </w:p>
        </w:tc>
        <w:tc>
          <w:tcPr>
            <w:tcW w:type="dxa" w:w="1440"/>
          </w:tcPr>
          <w:p>
            <w:r>
              <w:rPr>
                <w:rFonts w:ascii="Calibri" w:hAnsi="Calibri"/>
                <w:sz w:val="22"/>
              </w:rPr>
              <w:t>$2.63</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$14.54B</w:t>
            </w:r>
          </w:p>
        </w:tc>
        <w:tc>
          <w:tcPr>
            <w:tcW w:type="dxa" w:w="1440"/>
          </w:tcPr>
          <w:p>
            <w:r>
              <w:rPr>
                <w:rFonts w:ascii="Calibri" w:hAnsi="Calibri"/>
                <w:sz w:val="22"/>
              </w:rPr>
              <w:t>$14.41B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$1.60</w:t>
            </w:r>
          </w:p>
        </w:tc>
        <w:tc>
          <w:tcPr>
            <w:tcW w:type="dxa" w:w="1440"/>
          </w:tcPr>
          <w:p>
            <w:r>
              <w:rPr>
                <w:rFonts w:ascii="Calibri" w:hAnsi="Calibri"/>
                <w:sz w:val="22"/>
              </w:rPr>
              <w:t>$1.40</w:t>
            </w:r>
          </w:p>
        </w:tc>
        <w:tc>
          <w:tcPr>
            <w:tcW w:type="dxa" w:w="1440"/>
          </w:tcPr>
          <w:p>
            <w:r>
              <w:rPr>
                <w:rFonts w:ascii="Calibri" w:hAnsi="Calibri"/>
                <w:b/>
                <w:color w:val="30A46C"/>
                <w:sz w:val="22"/>
              </w:rPr>
              <w:t>+14.3%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$17.55B</w:t>
            </w:r>
          </w:p>
        </w:tc>
        <w:tc>
          <w:tcPr>
            <w:tcW w:type="dxa" w:w="1440"/>
          </w:tcPr>
          <w:p>
            <w:r>
              <w:rPr>
                <w:rFonts w:ascii="Calibri" w:hAnsi="Calibri"/>
                <w:sz w:val="22"/>
              </w:rPr>
              <w:t>$17.55B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$3.92</w:t>
            </w:r>
          </w:p>
        </w:tc>
        <w:tc>
          <w:tcPr>
            <w:tcW w:type="dxa" w:w="1440"/>
          </w:tcPr>
          <w:p>
            <w:r>
              <w:rPr>
                <w:rFonts w:ascii="Calibri" w:hAnsi="Calibri"/>
                <w:sz w:val="22"/>
              </w:rPr>
              <w:t>$3.79</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$14.97B</w:t>
            </w:r>
          </w:p>
        </w:tc>
        <w:tc>
          <w:tcPr>
            <w:tcW w:type="dxa" w:w="1440"/>
          </w:tcPr>
          <w:p>
            <w:r>
              <w:rPr>
                <w:rFonts w:ascii="Calibri" w:hAnsi="Calibri"/>
                <w:sz w:val="22"/>
              </w:rPr>
              <w:t>$15.07B</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$2.30</w:t>
            </w:r>
          </w:p>
        </w:tc>
        <w:tc>
          <w:tcPr>
            <w:tcW w:type="dxa" w:w="1440"/>
          </w:tcPr>
          <w:p>
            <w:r>
              <w:rPr>
                <w:rFonts w:ascii="Calibri" w:hAnsi="Calibri"/>
                <w:sz w:val="22"/>
              </w:rPr>
              <w:t>$2.21</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IBM had beaten on revenue in 6 of the prior 7 quarters and consistently beat on adj. EPS — making the Q2 2026 pre-announced miss (the first meaningful revenue miss in recent history) a significant departure from the established pattern and explaining the severity of the market reaction.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The July 14 pre-announcement represents a significant negative revision from Q1 2026 guidance — Infrastructure revenue came in at −7% vs. the guided “down low single digits,” and Software missed materially on Transaction Processing. </w:t>
      </w:r>
      <w:r>
        <w:rPr>
          <w:rFonts w:ascii="Calibri" w:hAnsi="Calibri"/>
          <w:b/>
          <w:color w:val="525866"/>
          <w:sz w:val="22"/>
        </w:rPr>
        <w:t>Full-year guidance has not yet been updated and will be the central focus of the July 22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 (CC)</w:t>
            </w:r>
          </w:p>
        </w:tc>
        <w:tc>
          <w:tcPr>
            <w:tcW w:type="dxa" w:w="1728"/>
          </w:tcPr>
          <w:p>
            <w:r>
              <w:rPr>
                <w:rFonts w:ascii="Calibri" w:hAnsi="Calibri"/>
                <w:sz w:val="22"/>
              </w:rPr>
              <w:t>5%+ constant currency</w:t>
            </w:r>
          </w:p>
        </w:tc>
        <w:tc>
          <w:tcPr>
            <w:tcW w:type="dxa" w:w="1728"/>
          </w:tcPr>
          <w:p>
            <w:r>
              <w:rPr>
                <w:rFonts w:ascii="Calibri" w:hAnsi="Calibri"/>
                <w:sz w:val="22"/>
              </w:rPr>
              <w:t>TBD — July 22 call</w:t>
            </w:r>
          </w:p>
        </w:tc>
        <w:tc>
          <w:tcPr>
            <w:tcW w:type="dxa" w:w="1728"/>
          </w:tcPr>
          <w:p>
            <w:r>
              <w:rPr>
                <w:rFonts w:ascii="Calibri" w:hAnsi="Calibri"/>
                <w:sz w:val="22"/>
              </w:rPr>
              <w:t>$70.49B FY cons. (down from $71.42B pre-event)</w:t>
            </w:r>
          </w:p>
        </w:tc>
        <w:tc>
          <w:tcPr>
            <w:tcW w:type="dxa" w:w="1728"/>
          </w:tcPr>
          <w:p>
            <w:r>
              <w:rPr>
                <w:rFonts w:ascii="Calibri" w:hAnsi="Calibri"/>
                <w:sz w:val="22"/>
              </w:rPr>
              <w:t>↓ Guidance under review; Q2 pre-ann. implies FY at risk. Full-year update expected July 22.</w:t>
            </w:r>
          </w:p>
        </w:tc>
      </w:tr>
      <w:tr>
        <w:tc>
          <w:tcPr>
            <w:tcW w:type="dxa" w:w="1728"/>
          </w:tcPr>
          <w:p>
            <w:r>
              <w:rPr>
                <w:rFonts w:ascii="Calibri" w:hAnsi="Calibri"/>
                <w:sz w:val="22"/>
              </w:rPr>
              <w:t>FY 2026 Free Cash Flow</w:t>
            </w:r>
          </w:p>
        </w:tc>
        <w:tc>
          <w:tcPr>
            <w:tcW w:type="dxa" w:w="1728"/>
          </w:tcPr>
          <w:p>
            <w:r>
              <w:rPr>
                <w:rFonts w:ascii="Calibri" w:hAnsi="Calibri"/>
                <w:sz w:val="22"/>
              </w:rPr>
              <w:t>~$15.7B (~$1B YoY growth)</w:t>
            </w:r>
          </w:p>
        </w:tc>
        <w:tc>
          <w:tcPr>
            <w:tcW w:type="dxa" w:w="1728"/>
          </w:tcPr>
          <w:p>
            <w:r>
              <w:rPr>
                <w:rFonts w:ascii="Calibri" w:hAnsi="Calibri"/>
                <w:sz w:val="22"/>
              </w:rPr>
              <w:t>TBD — July 22 call</w:t>
            </w:r>
          </w:p>
        </w:tc>
        <w:tc>
          <w:tcPr>
            <w:tcW w:type="dxa" w:w="1728"/>
          </w:tcPr>
          <w:p>
            <w:r>
              <w:rPr>
                <w:rFonts w:ascii="Calibri" w:hAnsi="Calibri"/>
                <w:sz w:val="22"/>
              </w:rPr>
              <w:t>$15.25B (cons.)</w:t>
            </w:r>
          </w:p>
        </w:tc>
        <w:tc>
          <w:tcPr>
            <w:tcW w:type="dxa" w:w="1728"/>
          </w:tcPr>
          <w:p>
            <w:r>
              <w:rPr>
                <w:rFonts w:ascii="Calibri" w:hAnsi="Calibri"/>
                <w:sz w:val="22"/>
              </w:rPr>
              <w:t>↓ Consensus has pulled back; YTD FCF of $4.8B (H1) implies H2 needs ~$10.5B to hit $15.3B.</w:t>
            </w:r>
          </w:p>
        </w:tc>
      </w:tr>
      <w:tr>
        <w:tc>
          <w:tcPr>
            <w:tcW w:type="dxa" w:w="1728"/>
          </w:tcPr>
          <w:p>
            <w:r>
              <w:rPr>
                <w:rFonts w:ascii="Calibri" w:hAnsi="Calibri"/>
                <w:sz w:val="22"/>
              </w:rPr>
              <w:t>Q2 2026 Revenue Growth (CC)</w:t>
            </w:r>
          </w:p>
        </w:tc>
        <w:tc>
          <w:tcPr>
            <w:tcW w:type="dxa" w:w="1728"/>
          </w:tcPr>
          <w:p>
            <w:r>
              <w:rPr>
                <w:rFonts w:ascii="Calibri" w:hAnsi="Calibri"/>
                <w:sz w:val="22"/>
              </w:rPr>
              <w:t>Similar to FY (~5% CC)</w:t>
            </w:r>
          </w:p>
        </w:tc>
        <w:tc>
          <w:tcPr>
            <w:tcW w:type="dxa" w:w="1728"/>
          </w:tcPr>
          <w:p>
            <w:r>
              <w:rPr>
                <w:rFonts w:ascii="Calibri" w:hAnsi="Calibri"/>
                <w:sz w:val="22"/>
              </w:rPr>
              <w:t>$17.2B / +1% reported (pre-ann. July 14)</w:t>
            </w:r>
          </w:p>
        </w:tc>
        <w:tc>
          <w:tcPr>
            <w:tcW w:type="dxa" w:w="1728"/>
          </w:tcPr>
          <w:p>
            <w:r>
              <w:rPr>
                <w:rFonts w:ascii="Calibri" w:hAnsi="Calibri"/>
                <w:sz w:val="22"/>
              </w:rPr>
              <w:t>$17.48B (post-event cons.)</w:t>
            </w:r>
          </w:p>
        </w:tc>
        <w:tc>
          <w:tcPr>
            <w:tcW w:type="dxa" w:w="1728"/>
          </w:tcPr>
          <w:p>
            <w:r>
              <w:rPr>
                <w:rFonts w:ascii="Calibri" w:hAnsi="Calibri"/>
                <w:sz w:val="22"/>
              </w:rPr>
              <w:t>↓ Significant miss vs. guidance. Pre-ann. cited late-June capex shift to hardware and deal slippage.</w:t>
            </w:r>
          </w:p>
        </w:tc>
      </w:tr>
      <w:tr>
        <w:tc>
          <w:tcPr>
            <w:tcW w:type="dxa" w:w="1728"/>
          </w:tcPr>
          <w:p>
            <w:r>
              <w:rPr>
                <w:rFonts w:ascii="Calibri" w:hAnsi="Calibri"/>
                <w:sz w:val="22"/>
              </w:rPr>
              <w:t>Q2 2026 Operating PTI Margin</w:t>
            </w:r>
          </w:p>
        </w:tc>
        <w:tc>
          <w:tcPr>
            <w:tcW w:type="dxa" w:w="1728"/>
          </w:tcPr>
          <w:p>
            <w:r>
              <w:rPr>
                <w:rFonts w:ascii="Calibri" w:hAnsi="Calibri"/>
                <w:sz w:val="22"/>
              </w:rPr>
              <w:t>~50bps expansion</w:t>
            </w:r>
          </w:p>
        </w:tc>
        <w:tc>
          <w:tcPr>
            <w:tcW w:type="dxa" w:w="1728"/>
          </w:tcPr>
          <w:p>
            <w:r>
              <w:rPr>
                <w:rFonts w:ascii="Calibri" w:hAnsi="Calibri"/>
                <w:sz w:val="22"/>
              </w:rPr>
              <w:t>19.2% operating PTI margin, +30bps (pre-ann.)</w:t>
            </w:r>
          </w:p>
        </w:tc>
        <w:tc>
          <w:tcPr>
            <w:tcW w:type="dxa" w:w="1728"/>
          </w:tcPr>
          <w:p>
            <w:r>
              <w:rPr>
                <w:rFonts w:ascii="Calibri" w:hAnsi="Calibri"/>
                <w:sz w:val="22"/>
              </w:rPr>
              <w:t>N/A — not separately tracked</w:t>
            </w:r>
          </w:p>
        </w:tc>
        <w:tc>
          <w:tcPr>
            <w:tcW w:type="dxa" w:w="1728"/>
          </w:tcPr>
          <w:p>
            <w:r>
              <w:rPr>
                <w:rFonts w:ascii="Calibri" w:hAnsi="Calibri"/>
                <w:sz w:val="22"/>
              </w:rPr>
              <w:t>Margin held better than revenue; productivity initiatives offset revenue shortfall.</w:t>
            </w:r>
          </w:p>
        </w:tc>
      </w:tr>
      <w:tr>
        <w:tc>
          <w:tcPr>
            <w:tcW w:type="dxa" w:w="1728"/>
          </w:tcPr>
          <w:p>
            <w:r>
              <w:rPr>
                <w:rFonts w:ascii="Calibri" w:hAnsi="Calibri"/>
                <w:sz w:val="22"/>
              </w:rPr>
              <w:t>Software Revenue Growth</w:t>
            </w:r>
          </w:p>
        </w:tc>
        <w:tc>
          <w:tcPr>
            <w:tcW w:type="dxa" w:w="1728"/>
          </w:tcPr>
          <w:p>
            <w:r>
              <w:rPr>
                <w:rFonts w:ascii="Calibri" w:hAnsi="Calibri"/>
                <w:sz w:val="22"/>
              </w:rPr>
              <w:t>10%+ for FY 2026</w:t>
            </w:r>
          </w:p>
        </w:tc>
        <w:tc>
          <w:tcPr>
            <w:tcW w:type="dxa" w:w="1728"/>
          </w:tcPr>
          <w:p>
            <w:r>
              <w:rPr>
                <w:rFonts w:ascii="Calibri" w:hAnsi="Calibri"/>
                <w:sz w:val="22"/>
              </w:rPr>
              <w:t>+5% in Q2 (pre-ann.); Red Hat +11% sequentially</w:t>
            </w:r>
          </w:p>
        </w:tc>
        <w:tc>
          <w:tcPr>
            <w:tcW w:type="dxa" w:w="1728"/>
          </w:tcPr>
          <w:p>
            <w:r>
              <w:rPr>
                <w:rFonts w:ascii="Calibri" w:hAnsi="Calibri"/>
                <w:sz w:val="22"/>
              </w:rPr>
              <w:t>$7.94B Q2 cons.; $32.69B FY cons.</w:t>
            </w:r>
          </w:p>
        </w:tc>
        <w:tc>
          <w:tcPr>
            <w:tcW w:type="dxa" w:w="1728"/>
          </w:tcPr>
          <w:p>
            <w:r>
              <w:rPr>
                <w:rFonts w:ascii="Calibri" w:hAnsi="Calibri"/>
                <w:sz w:val="22"/>
              </w:rPr>
              <w:t>↓ Q2 Software below FY run-rate needed for 10%+; Transaction Processing shortfall is key risk.</w:t>
            </w:r>
          </w:p>
        </w:tc>
      </w:tr>
      <w:tr>
        <w:tc>
          <w:tcPr>
            <w:tcW w:type="dxa" w:w="1728"/>
          </w:tcPr>
          <w:p>
            <w:r>
              <w:rPr>
                <w:rFonts w:ascii="Calibri" w:hAnsi="Calibri"/>
                <w:sz w:val="22"/>
              </w:rPr>
              <w:t>Consulting Revenue Growth</w:t>
            </w:r>
          </w:p>
        </w:tc>
        <w:tc>
          <w:tcPr>
            <w:tcW w:type="dxa" w:w="1728"/>
          </w:tcPr>
          <w:p>
            <w:r>
              <w:rPr>
                <w:rFonts w:ascii="Calibri" w:hAnsi="Calibri"/>
                <w:sz w:val="22"/>
              </w:rPr>
              <w:t>Low-to-mid single digits for FY</w:t>
            </w:r>
          </w:p>
        </w:tc>
        <w:tc>
          <w:tcPr>
            <w:tcW w:type="dxa" w:w="1728"/>
          </w:tcPr>
          <w:p>
            <w:r>
              <w:rPr>
                <w:rFonts w:ascii="Calibri" w:hAnsi="Calibri"/>
                <w:sz w:val="22"/>
              </w:rPr>
              <w:t>Flat / +1% CC in Q2 (pre-ann.)</w:t>
            </w:r>
          </w:p>
        </w:tc>
        <w:tc>
          <w:tcPr>
            <w:tcW w:type="dxa" w:w="1728"/>
          </w:tcPr>
          <w:p>
            <w:r>
              <w:rPr>
                <w:rFonts w:ascii="Calibri" w:hAnsi="Calibri"/>
                <w:sz w:val="22"/>
              </w:rPr>
              <w:t>$5.38B Q2 cons.</w:t>
            </w:r>
          </w:p>
        </w:tc>
        <w:tc>
          <w:tcPr>
            <w:tcW w:type="dxa" w:w="1728"/>
          </w:tcPr>
          <w:p>
            <w:r>
              <w:rPr>
                <w:rFonts w:ascii="Calibri" w:hAnsi="Calibri"/>
                <w:sz w:val="22"/>
              </w:rPr>
              <w:t>Roughly in line; GenAI signings growth continues.</w:t>
            </w:r>
          </w:p>
        </w:tc>
      </w:tr>
      <w:tr>
        <w:tc>
          <w:tcPr>
            <w:tcW w:type="dxa" w:w="1728"/>
          </w:tcPr>
          <w:p>
            <w:r>
              <w:rPr>
                <w:rFonts w:ascii="Calibri" w:hAnsi="Calibri"/>
                <w:sz w:val="22"/>
              </w:rPr>
              <w:t>Infrastructure Revenue Growth</w:t>
            </w:r>
          </w:p>
        </w:tc>
        <w:tc>
          <w:tcPr>
            <w:tcW w:type="dxa" w:w="1728"/>
          </w:tcPr>
          <w:p>
            <w:r>
              <w:rPr>
                <w:rFonts w:ascii="Calibri" w:hAnsi="Calibri"/>
                <w:sz w:val="22"/>
              </w:rPr>
              <w:t>Down low single digits for FY</w:t>
            </w:r>
          </w:p>
        </w:tc>
        <w:tc>
          <w:tcPr>
            <w:tcW w:type="dxa" w:w="1728"/>
          </w:tcPr>
          <w:p>
            <w:r>
              <w:rPr>
                <w:rFonts w:ascii="Calibri" w:hAnsi="Calibri"/>
                <w:sz w:val="22"/>
              </w:rPr>
              <w:t>−7% in Q2 (pre-ann.) — worse than guided</w:t>
            </w:r>
          </w:p>
        </w:tc>
        <w:tc>
          <w:tcPr>
            <w:tcW w:type="dxa" w:w="1728"/>
          </w:tcPr>
          <w:p>
            <w:r>
              <w:rPr>
                <w:rFonts w:ascii="Calibri" w:hAnsi="Calibri"/>
                <w:sz w:val="22"/>
              </w:rPr>
              <w:t>$3.91B Q2 cons.</w:t>
            </w:r>
          </w:p>
        </w:tc>
        <w:tc>
          <w:tcPr>
            <w:tcW w:type="dxa" w:w="1728"/>
          </w:tcPr>
          <w:p>
            <w:r>
              <w:rPr>
                <w:rFonts w:ascii="Calibri" w:hAnsi="Calibri"/>
                <w:sz w:val="22"/>
              </w:rPr>
              <w:t>↓ Materially worse than guided. Z mainframe + Transaction Processing software shortfall.</w:t>
            </w:r>
          </w:p>
        </w:tc>
      </w:tr>
      <w:tr>
        <w:tc>
          <w:tcPr>
            <w:tcW w:type="dxa" w:w="1728"/>
          </w:tcPr>
          <w:p>
            <w:r>
              <w:rPr>
                <w:rFonts w:ascii="Calibri" w:hAnsi="Calibri"/>
                <w:sz w:val="22"/>
              </w:rPr>
              <w:t>FY 2026 Operating PTI Margin</w:t>
            </w:r>
          </w:p>
        </w:tc>
        <w:tc>
          <w:tcPr>
            <w:tcW w:type="dxa" w:w="1728"/>
          </w:tcPr>
          <w:p>
            <w:r>
              <w:rPr>
                <w:rFonts w:ascii="Calibri" w:hAnsi="Calibri"/>
                <w:sz w:val="22"/>
              </w:rPr>
              <w:t>~1 point expansion (absorbing ~$600M Confluent dilution)</w:t>
            </w:r>
          </w:p>
        </w:tc>
        <w:tc>
          <w:tcPr>
            <w:tcW w:type="dxa" w:w="1728"/>
          </w:tcPr>
          <w:p>
            <w:r>
              <w:rPr>
                <w:rFonts w:ascii="Calibri" w:hAnsi="Calibri"/>
                <w:sz w:val="22"/>
              </w:rPr>
              <w:t>TBD — July 22 call</w:t>
            </w:r>
          </w:p>
        </w:tc>
        <w:tc>
          <w:tcPr>
            <w:tcW w:type="dxa" w:w="1728"/>
          </w:tcPr>
          <w:p>
            <w:r>
              <w:rPr>
                <w:rFonts w:ascii="Calibri" w:hAnsi="Calibri"/>
                <w:sz w:val="22"/>
              </w:rPr>
              <w:t>N/A</w:t>
            </w:r>
          </w:p>
        </w:tc>
        <w:tc>
          <w:tcPr>
            <w:tcW w:type="dxa" w:w="1728"/>
          </w:tcPr>
          <w:p>
            <w:r>
              <w:rPr>
                <w:rFonts w:ascii="Calibri" w:hAnsi="Calibri"/>
                <w:sz w:val="22"/>
              </w:rPr>
              <w:t>Productivity initiatives partially offset revenue miss; margin trajectory to be updated July 22.</w:t>
            </w:r>
          </w:p>
        </w:tc>
      </w:tr>
    </w:tbl>
    <w:p>
      <w:r>
        <w:rPr>
          <w:rFonts w:ascii="Calibri" w:hAnsi="Calibri"/>
          <w:i/>
          <w:color w:val="525866"/>
          <w:sz w:val="22"/>
        </w:rPr>
        <w:t>Sources: IBM Q1 2026 Earnings Call Transcript (April 22, 2026); IBM 8-K Pre-Announcement (July 14,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were essentially flat from the Q1 2026 earnings date through early July, then collapsed sharply following the July 14 pre-announcement. </w:t>
      </w:r>
      <w:r>
        <w:rPr>
          <w:rFonts w:ascii="Calibri" w:hAnsi="Calibri"/>
          <w:b/>
          <w:color w:val="525866"/>
          <w:sz w:val="22"/>
        </w:rPr>
        <w:t>The ~$3B revenue cut to FY 2026 consensus in one week reflects the market pricing in a multi-quarter drag</w:t>
      </w:r>
      <w:r>
        <w:rPr>
          <w:rFonts w:ascii="Calibri" w:hAnsi="Calibri"/>
          <w:color w:val="525866"/>
          <w:sz w:val="22"/>
        </w:rPr>
        <w:t xml:space="preserve"> — the key question on July 22 is whether management can narrow that gap with a credible H2 recovery narrative.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Total Revenue — Q2 2026</w:t>
            </w:r>
          </w:p>
        </w:tc>
        <w:tc>
          <w:tcPr>
            <w:tcW w:type="dxa" w:w="1080"/>
          </w:tcPr>
          <w:p>
            <w:r>
              <w:rPr>
                <w:rFonts w:ascii="Calibri" w:hAnsi="Calibri"/>
                <w:sz w:val="22"/>
              </w:rPr>
              <w:t>$17.82B</w:t>
            </w:r>
          </w:p>
        </w:tc>
        <w:tc>
          <w:tcPr>
            <w:tcW w:type="dxa" w:w="1080"/>
          </w:tcPr>
          <w:p>
            <w:r>
              <w:rPr>
                <w:rFonts w:ascii="Calibri" w:hAnsi="Calibri"/>
                <w:sz w:val="22"/>
              </w:rPr>
              <w:t>$17.48B</w:t>
            </w:r>
          </w:p>
        </w:tc>
        <w:tc>
          <w:tcPr>
            <w:tcW w:type="dxa" w:w="1080"/>
          </w:tcPr>
          <w:p>
            <w:r>
              <w:rPr>
                <w:rFonts w:ascii="Calibri" w:hAnsi="Calibri"/>
                <w:b/>
                <w:color w:val="E5484D"/>
                <w:sz w:val="22"/>
              </w:rPr>
              <w:t>−1.9%</w:t>
            </w:r>
          </w:p>
        </w:tc>
        <w:tc>
          <w:tcPr>
            <w:tcW w:type="dxa" w:w="1080"/>
          </w:tcPr>
          <w:p>
            <w:r>
              <w:rPr>
                <w:rFonts w:ascii="Calibri" w:hAnsi="Calibri"/>
                <w:sz w:val="22"/>
              </w:rPr>
              <w:t>~5% CC growth</w:t>
            </w:r>
          </w:p>
        </w:tc>
        <w:tc>
          <w:tcPr>
            <w:tcW w:type="dxa" w:w="1080"/>
          </w:tcPr>
          <w:p>
            <w:r>
              <w:rPr>
                <w:rFonts w:ascii="Calibri" w:hAnsi="Calibri"/>
                <w:sz w:val="22"/>
              </w:rPr>
              <w:t>Pre-ann. $17.2B (+1%)</w:t>
            </w:r>
          </w:p>
        </w:tc>
        <w:tc>
          <w:tcPr>
            <w:tcW w:type="dxa" w:w="1080"/>
          </w:tcPr>
          <w:p>
            <w:r>
              <w:rPr>
                <w:rFonts w:ascii="Calibri" w:hAnsi="Calibri"/>
                <w:sz w:val="22"/>
              </w:rPr>
              <w:t>↓ Significant miss</w:t>
            </w:r>
          </w:p>
        </w:tc>
        <w:tc>
          <w:tcPr>
            <w:tcW w:type="dxa" w:w="1080"/>
          </w:tcPr>
          <w:p>
            <w:r>
              <w:rPr>
                <w:rFonts w:ascii="Calibri" w:hAnsi="Calibri"/>
                <w:sz w:val="22"/>
              </w:rPr>
              <w:t>Cons. above pre-ann.</w:t>
            </w:r>
          </w:p>
        </w:tc>
      </w:tr>
      <w:tr>
        <w:tc>
          <w:tcPr>
            <w:tcW w:type="dxa" w:w="1080"/>
          </w:tcPr>
          <w:p>
            <w:r>
              <w:rPr>
                <w:rFonts w:ascii="Calibri" w:hAnsi="Calibri"/>
                <w:sz w:val="22"/>
              </w:rPr>
              <w:t>Adj. EPS — Q2 2026</w:t>
            </w:r>
          </w:p>
        </w:tc>
        <w:tc>
          <w:tcPr>
            <w:tcW w:type="dxa" w:w="1080"/>
          </w:tcPr>
          <w:p>
            <w:r>
              <w:rPr>
                <w:rFonts w:ascii="Calibri" w:hAnsi="Calibri"/>
                <w:sz w:val="22"/>
              </w:rPr>
              <w:t>$2.97</w:t>
            </w:r>
          </w:p>
        </w:tc>
        <w:tc>
          <w:tcPr>
            <w:tcW w:type="dxa" w:w="1080"/>
          </w:tcPr>
          <w:p>
            <w:r>
              <w:rPr>
                <w:rFonts w:ascii="Calibri" w:hAnsi="Calibri"/>
                <w:sz w:val="22"/>
              </w:rPr>
              <w:t>$2.92</w:t>
            </w:r>
          </w:p>
        </w:tc>
        <w:tc>
          <w:tcPr>
            <w:tcW w:type="dxa" w:w="1080"/>
          </w:tcPr>
          <w:p>
            <w:r>
              <w:rPr>
                <w:rFonts w:ascii="Calibri" w:hAnsi="Calibri"/>
                <w:b/>
                <w:color w:val="E5484D"/>
                <w:sz w:val="22"/>
              </w:rPr>
              <w:t>−1.7%</w:t>
            </w:r>
          </w:p>
        </w:tc>
        <w:tc>
          <w:tcPr>
            <w:tcW w:type="dxa" w:w="1080"/>
          </w:tcPr>
          <w:p>
            <w:r>
              <w:rPr>
                <w:rFonts w:ascii="Calibri" w:hAnsi="Calibri"/>
                <w:sz w:val="22"/>
              </w:rPr>
              <w:t>~50bps PTI expansion</w:t>
            </w:r>
          </w:p>
        </w:tc>
        <w:tc>
          <w:tcPr>
            <w:tcW w:type="dxa" w:w="1080"/>
          </w:tcPr>
          <w:p>
            <w:r>
              <w:rPr>
                <w:rFonts w:ascii="Calibri" w:hAnsi="Calibri"/>
                <w:sz w:val="22"/>
              </w:rPr>
              <w:t>Pre-ann. $2.93 (+5%)</w:t>
            </w:r>
          </w:p>
        </w:tc>
        <w:tc>
          <w:tcPr>
            <w:tcW w:type="dxa" w:w="1080"/>
          </w:tcPr>
          <w:p>
            <w:r>
              <w:rPr>
                <w:rFonts w:ascii="Calibri" w:hAnsi="Calibri"/>
                <w:sz w:val="22"/>
              </w:rPr>
              <w:t>Roughly in line</w:t>
            </w:r>
          </w:p>
        </w:tc>
        <w:tc>
          <w:tcPr>
            <w:tcW w:type="dxa" w:w="1080"/>
          </w:tcPr>
          <w:p>
            <w:r>
              <w:rPr>
                <w:rFonts w:ascii="Calibri" w:hAnsi="Calibri"/>
                <w:sz w:val="22"/>
              </w:rPr>
              <w:t>Cons. ~in line with pre-ann.</w:t>
            </w:r>
          </w:p>
        </w:tc>
      </w:tr>
      <w:tr>
        <w:tc>
          <w:tcPr>
            <w:tcW w:type="dxa" w:w="1080"/>
          </w:tcPr>
          <w:p>
            <w:r>
              <w:rPr>
                <w:rFonts w:ascii="Calibri" w:hAnsi="Calibri"/>
                <w:sz w:val="22"/>
              </w:rPr>
              <w:t>Software Revenue — Q2 2026</w:t>
            </w:r>
          </w:p>
        </w:tc>
        <w:tc>
          <w:tcPr>
            <w:tcW w:type="dxa" w:w="1080"/>
          </w:tcPr>
          <w:p>
            <w:r>
              <w:rPr>
                <w:rFonts w:ascii="Calibri" w:hAnsi="Calibri"/>
                <w:sz w:val="22"/>
              </w:rPr>
              <w:t>$8.20B</w:t>
            </w:r>
          </w:p>
        </w:tc>
        <w:tc>
          <w:tcPr>
            <w:tcW w:type="dxa" w:w="1080"/>
          </w:tcPr>
          <w:p>
            <w:r>
              <w:rPr>
                <w:rFonts w:ascii="Calibri" w:hAnsi="Calibri"/>
                <w:sz w:val="22"/>
              </w:rPr>
              <w:t>$7.94B</w:t>
            </w:r>
          </w:p>
        </w:tc>
        <w:tc>
          <w:tcPr>
            <w:tcW w:type="dxa" w:w="1080"/>
          </w:tcPr>
          <w:p>
            <w:r>
              <w:rPr>
                <w:rFonts w:ascii="Calibri" w:hAnsi="Calibri"/>
                <w:b/>
                <w:color w:val="E5484D"/>
                <w:sz w:val="22"/>
              </w:rPr>
              <w:t>−3.2%</w:t>
            </w:r>
          </w:p>
        </w:tc>
        <w:tc>
          <w:tcPr>
            <w:tcW w:type="dxa" w:w="1080"/>
          </w:tcPr>
          <w:p>
            <w:r>
              <w:rPr>
                <w:rFonts w:ascii="Calibri" w:hAnsi="Calibri"/>
                <w:sz w:val="22"/>
              </w:rPr>
              <w:t>10%+ FY growth</w:t>
            </w:r>
          </w:p>
        </w:tc>
        <w:tc>
          <w:tcPr>
            <w:tcW w:type="dxa" w:w="1080"/>
          </w:tcPr>
          <w:p>
            <w:r>
              <w:rPr>
                <w:rFonts w:ascii="Calibri" w:hAnsi="Calibri"/>
                <w:sz w:val="22"/>
              </w:rPr>
              <w:t>Pre-ann. +5% Q2</w:t>
            </w:r>
          </w:p>
        </w:tc>
        <w:tc>
          <w:tcPr>
            <w:tcW w:type="dxa" w:w="1080"/>
          </w:tcPr>
          <w:p>
            <w:r>
              <w:rPr>
                <w:rFonts w:ascii="Calibri" w:hAnsi="Calibri"/>
                <w:sz w:val="22"/>
              </w:rPr>
              <w:t>↓ Below FY run-rate</w:t>
            </w:r>
          </w:p>
        </w:tc>
        <w:tc>
          <w:tcPr>
            <w:tcW w:type="dxa" w:w="1080"/>
          </w:tcPr>
          <w:p>
            <w:r>
              <w:rPr>
                <w:rFonts w:ascii="Calibri" w:hAnsi="Calibri"/>
                <w:sz w:val="22"/>
              </w:rPr>
              <w:t>Cons. above pre-ann. actuals</w:t>
            </w:r>
          </w:p>
        </w:tc>
      </w:tr>
      <w:tr>
        <w:tc>
          <w:tcPr>
            <w:tcW w:type="dxa" w:w="1080"/>
          </w:tcPr>
          <w:p>
            <w:r>
              <w:rPr>
                <w:rFonts w:ascii="Calibri" w:hAnsi="Calibri"/>
                <w:sz w:val="22"/>
              </w:rPr>
              <w:t>Total Revenue — FY 2026</w:t>
            </w:r>
          </w:p>
        </w:tc>
        <w:tc>
          <w:tcPr>
            <w:tcW w:type="dxa" w:w="1080"/>
          </w:tcPr>
          <w:p>
            <w:r>
              <w:rPr>
                <w:rFonts w:ascii="Calibri" w:hAnsi="Calibri"/>
                <w:sz w:val="22"/>
              </w:rPr>
              <w:t>$71.42B</w:t>
            </w:r>
          </w:p>
        </w:tc>
        <w:tc>
          <w:tcPr>
            <w:tcW w:type="dxa" w:w="1080"/>
          </w:tcPr>
          <w:p>
            <w:r>
              <w:rPr>
                <w:rFonts w:ascii="Calibri" w:hAnsi="Calibri"/>
                <w:sz w:val="22"/>
              </w:rPr>
              <w:t>$70.49B</w:t>
            </w:r>
          </w:p>
        </w:tc>
        <w:tc>
          <w:tcPr>
            <w:tcW w:type="dxa" w:w="1080"/>
          </w:tcPr>
          <w:p>
            <w:r>
              <w:rPr>
                <w:rFonts w:ascii="Calibri" w:hAnsi="Calibri"/>
                <w:b/>
                <w:color w:val="E5484D"/>
                <w:sz w:val="22"/>
              </w:rPr>
              <w:t>−1.3%</w:t>
            </w:r>
          </w:p>
        </w:tc>
        <w:tc>
          <w:tcPr>
            <w:tcW w:type="dxa" w:w="1080"/>
          </w:tcPr>
          <w:p>
            <w:r>
              <w:rPr>
                <w:rFonts w:ascii="Calibri" w:hAnsi="Calibri"/>
                <w:sz w:val="22"/>
              </w:rPr>
              <w:t>5%+ CC growth</w:t>
            </w:r>
          </w:p>
        </w:tc>
        <w:tc>
          <w:tcPr>
            <w:tcW w:type="dxa" w:w="1080"/>
          </w:tcPr>
          <w:p>
            <w:r>
              <w:rPr>
                <w:rFonts w:ascii="Calibri" w:hAnsi="Calibri"/>
                <w:sz w:val="22"/>
              </w:rPr>
              <w:t>TBD — July 22</w:t>
            </w:r>
          </w:p>
        </w:tc>
        <w:tc>
          <w:tcPr>
            <w:tcW w:type="dxa" w:w="1080"/>
          </w:tcPr>
          <w:p>
            <w:r>
              <w:rPr>
                <w:rFonts w:ascii="Calibri" w:hAnsi="Calibri"/>
                <w:sz w:val="22"/>
              </w:rPr>
              <w:t>Under review</w:t>
            </w:r>
          </w:p>
        </w:tc>
        <w:tc>
          <w:tcPr>
            <w:tcW w:type="dxa" w:w="1080"/>
          </w:tcPr>
          <w:p>
            <w:r>
              <w:rPr>
                <w:rFonts w:ascii="Calibri" w:hAnsi="Calibri"/>
                <w:sz w:val="22"/>
              </w:rPr>
              <w:t>Cons. below prior guidance</w:t>
            </w:r>
          </w:p>
        </w:tc>
      </w:tr>
      <w:tr>
        <w:tc>
          <w:tcPr>
            <w:tcW w:type="dxa" w:w="1080"/>
          </w:tcPr>
          <w:p>
            <w:r>
              <w:rPr>
                <w:rFonts w:ascii="Calibri" w:hAnsi="Calibri"/>
                <w:sz w:val="22"/>
              </w:rPr>
              <w:t>Adj. EPS — FY 2026</w:t>
            </w:r>
          </w:p>
        </w:tc>
        <w:tc>
          <w:tcPr>
            <w:tcW w:type="dxa" w:w="1080"/>
          </w:tcPr>
          <w:p>
            <w:r>
              <w:rPr>
                <w:rFonts w:ascii="Calibri" w:hAnsi="Calibri"/>
                <w:sz w:val="22"/>
              </w:rPr>
              <w:t>$12.44</w:t>
            </w:r>
          </w:p>
        </w:tc>
        <w:tc>
          <w:tcPr>
            <w:tcW w:type="dxa" w:w="1080"/>
          </w:tcPr>
          <w:p>
            <w:r>
              <w:rPr>
                <w:rFonts w:ascii="Calibri" w:hAnsi="Calibri"/>
                <w:sz w:val="22"/>
              </w:rPr>
              <w:t>$12.13</w:t>
            </w:r>
          </w:p>
        </w:tc>
        <w:tc>
          <w:tcPr>
            <w:tcW w:type="dxa" w:w="1080"/>
          </w:tcPr>
          <w:p>
            <w:r>
              <w:rPr>
                <w:rFonts w:ascii="Calibri" w:hAnsi="Calibri"/>
                <w:b/>
                <w:color w:val="E5484D"/>
                <w:sz w:val="22"/>
              </w:rPr>
              <w:t>−2.5%</w:t>
            </w:r>
          </w:p>
        </w:tc>
        <w:tc>
          <w:tcPr>
            <w:tcW w:type="dxa" w:w="1080"/>
          </w:tcPr>
          <w:p>
            <w:r>
              <w:rPr>
                <w:rFonts w:ascii="Calibri" w:hAnsi="Calibri"/>
                <w:sz w:val="22"/>
              </w:rPr>
              <w:t>N/A (no explicit FY EPS guide)</w:t>
            </w:r>
          </w:p>
        </w:tc>
        <w:tc>
          <w:tcPr>
            <w:tcW w:type="dxa" w:w="1080"/>
          </w:tcPr>
          <w:p>
            <w:r>
              <w:rPr>
                <w:rFonts w:ascii="Calibri" w:hAnsi="Calibri"/>
                <w:sz w:val="22"/>
              </w:rPr>
              <w:t>TBD — July 22</w:t>
            </w:r>
          </w:p>
        </w:tc>
        <w:tc>
          <w:tcPr>
            <w:tcW w:type="dxa" w:w="1080"/>
          </w:tcPr>
          <w:p>
            <w:r>
              <w:rPr>
                <w:rFonts w:ascii="Calibri" w:hAnsi="Calibri"/>
                <w:sz w:val="22"/>
              </w:rPr>
              <w:t>Under review</w:t>
            </w:r>
          </w:p>
        </w:tc>
        <w:tc>
          <w:tcPr>
            <w:tcW w:type="dxa" w:w="1080"/>
          </w:tcPr>
          <w:p>
            <w:r>
              <w:rPr>
                <w:rFonts w:ascii="Calibri" w:hAnsi="Calibri"/>
                <w:sz w:val="22"/>
              </w:rPr>
              <w:t>N/A</w:t>
            </w:r>
          </w:p>
        </w:tc>
      </w:tr>
      <w:tr>
        <w:tc>
          <w:tcPr>
            <w:tcW w:type="dxa" w:w="1080"/>
          </w:tcPr>
          <w:p>
            <w:r>
              <w:rPr>
                <w:rFonts w:ascii="Calibri" w:hAnsi="Calibri"/>
                <w:sz w:val="22"/>
              </w:rPr>
              <w:t>Software Revenue — FY 2026</w:t>
            </w:r>
          </w:p>
        </w:tc>
        <w:tc>
          <w:tcPr>
            <w:tcW w:type="dxa" w:w="1080"/>
          </w:tcPr>
          <w:p>
            <w:r>
              <w:rPr>
                <w:rFonts w:ascii="Calibri" w:hAnsi="Calibri"/>
                <w:sz w:val="22"/>
              </w:rPr>
              <w:t>$33.34B</w:t>
            </w:r>
          </w:p>
        </w:tc>
        <w:tc>
          <w:tcPr>
            <w:tcW w:type="dxa" w:w="1080"/>
          </w:tcPr>
          <w:p>
            <w:r>
              <w:rPr>
                <w:rFonts w:ascii="Calibri" w:hAnsi="Calibri"/>
                <w:sz w:val="22"/>
              </w:rPr>
              <w:t>$32.69B</w:t>
            </w:r>
          </w:p>
        </w:tc>
        <w:tc>
          <w:tcPr>
            <w:tcW w:type="dxa" w:w="1080"/>
          </w:tcPr>
          <w:p>
            <w:r>
              <w:rPr>
                <w:rFonts w:ascii="Calibri" w:hAnsi="Calibri"/>
                <w:b/>
                <w:color w:val="E5484D"/>
                <w:sz w:val="22"/>
              </w:rPr>
              <w:t>−1.9%</w:t>
            </w:r>
          </w:p>
        </w:tc>
        <w:tc>
          <w:tcPr>
            <w:tcW w:type="dxa" w:w="1080"/>
          </w:tcPr>
          <w:p>
            <w:r>
              <w:rPr>
                <w:rFonts w:ascii="Calibri" w:hAnsi="Calibri"/>
                <w:sz w:val="22"/>
              </w:rPr>
              <w:t>10%+ growth</w:t>
            </w:r>
          </w:p>
        </w:tc>
        <w:tc>
          <w:tcPr>
            <w:tcW w:type="dxa" w:w="1080"/>
          </w:tcPr>
          <w:p>
            <w:r>
              <w:rPr>
                <w:rFonts w:ascii="Calibri" w:hAnsi="Calibri"/>
                <w:sz w:val="22"/>
              </w:rPr>
              <w:t>TBD — July 22</w:t>
            </w:r>
          </w:p>
        </w:tc>
        <w:tc>
          <w:tcPr>
            <w:tcW w:type="dxa" w:w="1080"/>
          </w:tcPr>
          <w:p>
            <w:r>
              <w:rPr>
                <w:rFonts w:ascii="Calibri" w:hAnsi="Calibri"/>
                <w:sz w:val="22"/>
              </w:rPr>
              <w:t>Under review</w:t>
            </w:r>
          </w:p>
        </w:tc>
        <w:tc>
          <w:tcPr>
            <w:tcW w:type="dxa" w:w="1080"/>
          </w:tcPr>
          <w:p>
            <w:r>
              <w:rPr>
                <w:rFonts w:ascii="Calibri" w:hAnsi="Calibri"/>
                <w:sz w:val="22"/>
              </w:rPr>
              <w:t>Cons. below 10%+ guidance</w:t>
            </w:r>
          </w:p>
        </w:tc>
      </w:tr>
    </w:tbl>
    <w:p>
      <w:r>
        <w:rPr>
          <w:rFonts w:ascii="Calibri" w:hAnsi="Calibri"/>
          <w:color w:val="525866"/>
          <w:sz w:val="22"/>
        </w:rPr>
        <w:t>The revision trajectory tells a clear story: estimates were essentially unchanged from the Q1 2026 earnings date through early July 2026, then dropped sharply in the week of July 14 following the pre-announcement. The ~$930M cut to Q2 revenue consensus and ~$2.9B cut to FY 2026 revenue consensus in a single week reflects the market pricing in not just the Q2 miss but also a potential multi-quarter drag from the capex-reprioritization dynamic.</w:t>
      </w:r>
    </w:p>
    <w:p>
      <w:r>
        <w:rPr>
          <w:rFonts w:ascii="Calibri" w:hAnsi="Calibri"/>
          <w:i/>
          <w:color w:val="525866"/>
          <w:sz w:val="22"/>
        </w:rPr>
        <w:t>Source: Visible Alpha Consensus and Actuals Data (revision history table, weekly frequency, May 1 – July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IBM’s stock decline since Q1 2026 earnings is almost entirely multiple compression — the stock peaked near all-time highs in early June before the pre-announcement triggered a historic single-day collapse. </w:t>
      </w:r>
      <w:r>
        <w:rPr>
          <w:rFonts w:ascii="Calibri" w:hAnsi="Calibri"/>
          <w:b/>
          <w:color w:val="525866"/>
          <w:sz w:val="22"/>
        </w:rPr>
        <w:t>The stock is now down ~16% since Q1 earnings vs. XLK flat and SPY +5%, with the P/E multiple contracting from ~28.6x to ~20.6x NTM.</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IBM vs. XLK vs. S&amp;P 500 (SPY) — Indexed to 100 at Q1 2026 Earnings (April 22, 2026). Source: Yahoo Finance / Stock Price Data.</w:t>
      </w:r>
    </w:p>
    <w:p>
      <w:r>
        <w:rPr>
          <w:rFonts w:ascii="Calibri" w:hAnsi="Calibri"/>
          <w:color w:val="525866"/>
          <w:sz w:val="22"/>
        </w:rPr>
        <w:t>IBM opened Q1 2026 earnings at $251.86 and initially sold off ~8% in the first session despite beating on all metrics, as investors were disappointed by the decision to hold full-year guidance unchanged. The stock then recovered sharply through May and into early June, reaching a peak near $329 on June 2 — near all-time highs — driven by momentum in the AI/hybrid cloud narrative and z17 mainframe cycle enthusiasm. From that peak, the stock began a steady decline through June as macro uncertainty and sector rotation weighed on software names. The July 14 pre-announcement triggered a historic ~25% single-day collapse (worst in IBM’s 115-year history), with the stock falling from ~$290 to ~$217. As of July 21, IBM trades at ~$213, down ~15% since Q1 earnings, while XLK is up ~11% and SPY is up ~4% over the same period. The NTM EV/EBITDA multiple has compressed from ~16.3x six months ago to ~12.4x today, and the NTM P/E has fallen from ~28.6x to ~20.6x — suggesting the market has re-rated IBM from a premium AI infrastructure winner to a show-me story.</w:t>
      </w:r>
    </w:p>
    <w:p>
      <w:r>
        <w:rPr>
          <w:rFonts w:ascii="Calibri" w:hAnsi="Calibri"/>
          <w:b/>
          <w:color w:val="525866"/>
          <w:sz w:val="22"/>
        </w:rPr>
        <w:t>Key Events Marked on Chart:</w:t>
      </w:r>
    </w:p>
    <w:p>
      <w:pPr>
        <w:pStyle w:val="ListBullet"/>
        <w:ind w:left="360" w:hanging="360"/>
      </w:pPr>
      <w:r>
        <w:rPr>
          <w:rFonts w:ascii="Calibri" w:hAnsi="Calibri"/>
          <w:b/>
          <w:color w:val="525866"/>
          <w:sz w:val="22"/>
        </w:rPr>
        <w:t xml:space="preserve">April 22, 2026: </w:t>
      </w:r>
      <w:r>
        <w:rPr>
          <w:rFonts w:ascii="Calibri" w:hAnsi="Calibri"/>
          <w:color w:val="525866"/>
          <w:sz w:val="22"/>
        </w:rPr>
        <w:t>Q1 2026 earnings — beat on all metrics but stock sold off ~8% on guidance hold.</w:t>
      </w:r>
    </w:p>
    <w:p>
      <w:pPr>
        <w:pStyle w:val="ListBullet"/>
        <w:ind w:left="360" w:hanging="360"/>
      </w:pPr>
      <w:r>
        <w:rPr>
          <w:rFonts w:ascii="Calibri" w:hAnsi="Calibri"/>
          <w:b/>
          <w:color w:val="525866"/>
          <w:sz w:val="22"/>
        </w:rPr>
        <w:t xml:space="preserve">May 21, 2026: </w:t>
      </w:r>
      <w:r>
        <w:rPr>
          <w:rFonts w:ascii="Calibri" w:hAnsi="Calibri"/>
          <w:color w:val="525866"/>
          <w:sz w:val="22"/>
        </w:rPr>
        <w:t>IBM Think 2026 conference — CEO Krishna outlined AI and quantum strategy; stock rallied ~15% in the following week.</w:t>
      </w:r>
    </w:p>
    <w:p>
      <w:pPr>
        <w:pStyle w:val="ListBullet"/>
        <w:ind w:left="360" w:hanging="360"/>
      </w:pPr>
      <w:r>
        <w:rPr>
          <w:rFonts w:ascii="Calibri" w:hAnsi="Calibri"/>
          <w:b/>
          <w:color w:val="525866"/>
          <w:sz w:val="22"/>
        </w:rPr>
        <w:t xml:space="preserve">June 2, 2026: </w:t>
      </w:r>
      <w:r>
        <w:rPr>
          <w:rFonts w:ascii="Calibri" w:hAnsi="Calibri"/>
          <w:color w:val="525866"/>
          <w:sz w:val="22"/>
        </w:rPr>
        <w:t>Stock peaked near $329, approaching all-time highs.</w:t>
      </w:r>
    </w:p>
    <w:p>
      <w:pPr>
        <w:pStyle w:val="ListBullet"/>
        <w:ind w:left="360" w:hanging="360"/>
      </w:pPr>
      <w:r>
        <w:rPr>
          <w:rFonts w:ascii="Calibri" w:hAnsi="Calibri"/>
          <w:b/>
          <w:color w:val="525866"/>
          <w:sz w:val="22"/>
        </w:rPr>
        <w:t xml:space="preserve">July 10, 2026: </w:t>
      </w:r>
      <w:r>
        <w:rPr>
          <w:rFonts w:ascii="Calibri" w:hAnsi="Calibri"/>
          <w:color w:val="525866"/>
          <w:sz w:val="22"/>
        </w:rPr>
        <w:t>Susquehanna initiated at Neutral ($303 PT); Bloomberg reported Starbucks using proprietary AI to reduce IBM/MSFT software reliance — stock fell ~2.6%.</w:t>
      </w:r>
    </w:p>
    <w:p>
      <w:pPr>
        <w:pStyle w:val="ListBullet"/>
        <w:ind w:left="360" w:hanging="360"/>
      </w:pPr>
      <w:r>
        <w:rPr>
          <w:rFonts w:ascii="Calibri" w:hAnsi="Calibri"/>
          <w:b/>
          <w:color w:val="525866"/>
          <w:sz w:val="22"/>
        </w:rPr>
        <w:t xml:space="preserve">July 14, 2026: </w:t>
      </w:r>
      <w:r>
        <w:rPr>
          <w:rFonts w:ascii="Calibri" w:hAnsi="Calibri"/>
          <w:color w:val="525866"/>
          <w:sz w:val="22"/>
        </w:rPr>
        <w:t>IBM pre-announced Q2 miss via 8-K — stock collapsed ~25%, worst single-day decline in company history. HSBC downgraded to Reduce ($191 PT).</w:t>
      </w:r>
    </w:p>
    <w:p>
      <w:r>
        <w:rPr>
          <w:rFonts w:ascii="Calibri" w:hAnsi="Calibri"/>
          <w:i/>
          <w:color w:val="525866"/>
          <w:sz w:val="22"/>
        </w:rPr>
        <w:t>Source: Stock Price Data (Yahoo Finance). Sector ETF: XLK (Technology Select Sector SPDR Fund) — appropriate for IBM’s IT services/software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July 14 pre-announcement is the dominant development — IBM’s historic stock collapse and CEO’s acknowledgment that the company “faltered” has reset the narrative entirely. The July 22 call must address whether the capex-shift headwind is transient or structural, and provide a credible path to full-year guidance.</w:t>
      </w:r>
    </w:p>
    <w:p>
      <w:pPr>
        <w:pStyle w:val="ListBullet"/>
        <w:ind w:left="360" w:hanging="360"/>
      </w:pPr>
      <w:r>
        <w:rPr>
          <w:rFonts w:ascii="Calibri" w:hAnsi="Calibri"/>
          <w:b/>
          <w:color w:val="525866"/>
          <w:sz w:val="22"/>
        </w:rPr>
        <w:t xml:space="preserve">July 14, 2026 — IBM Pre-Announces Q2 Miss (8-K): </w:t>
      </w:r>
      <w:r>
        <w:rPr>
          <w:rFonts w:ascii="Calibri" w:hAnsi="Calibri"/>
          <w:color w:val="525866"/>
          <w:sz w:val="22"/>
        </w:rPr>
        <w:t xml:space="preserve">IBM filed an 8-K pre-announcing Q2 revenue of $17.2B (+1% YoY, vs. consensus $17.86B) and adj. EPS of $2.93 (+5%, vs. consensus $3.02). CEO Arvind Krishna cited a late-June shift by enterprise clients toward servers, storage, and memory purchases to front-run AI-driven hardware inflation, plus deal slippage and cybersecurity distractions. Krishna acknowledged the company “faltered” and “did not adapt and move quickly enough.” Infrastructure revenue fell 7% (vs. guided low-single-digit decline); Software +5% but Transaction Processing missed materially. </w:t>
      </w:r>
      <w:r>
        <w:rPr>
          <w:rFonts w:ascii="Calibri" w:hAnsi="Calibri"/>
          <w:i/>
          <w:color w:val="525866"/>
          <w:sz w:val="22"/>
        </w:rPr>
        <w:t>Implication: Sets the bar for July 22 call; full-year guidance update is the critical catalyst.</w:t>
      </w:r>
    </w:p>
    <w:p>
      <w:pPr>
        <w:pStyle w:val="ListBullet"/>
        <w:ind w:left="360" w:hanging="360"/>
      </w:pPr>
      <w:r>
        <w:rPr>
          <w:rFonts w:ascii="Calibri" w:hAnsi="Calibri"/>
          <w:b/>
          <w:color w:val="525866"/>
          <w:sz w:val="22"/>
        </w:rPr>
        <w:t xml:space="preserve">July 14, 2026 — Stock Collapses 25% (Worst Day in IBM History): </w:t>
      </w:r>
      <w:r>
        <w:rPr>
          <w:rFonts w:ascii="Calibri" w:hAnsi="Calibri"/>
          <w:color w:val="525866"/>
          <w:sz w:val="22"/>
        </w:rPr>
        <w:t xml:space="preserve">IBM shares fell ~$73 to ~$217, wiping ~$70B in market cap — the largest single-day decline since at least 1968 (surpassing Black Monday 1987’s 23.7% drop). The selloff dragged software peers: MSFT −3%, Workday −10%, Salesforce −6.2%, Oracle −2.1%. </w:t>
      </w:r>
      <w:r>
        <w:rPr>
          <w:rFonts w:ascii="Calibri" w:hAnsi="Calibri"/>
          <w:i/>
          <w:color w:val="525866"/>
          <w:sz w:val="22"/>
        </w:rPr>
        <w:t>Implication: Crowded positioning in IBM as an AI infrastructure winner amplified the move; activist risk has emerged.</w:t>
      </w:r>
    </w:p>
    <w:p>
      <w:pPr>
        <w:pStyle w:val="ListBullet"/>
        <w:ind w:left="360" w:hanging="360"/>
      </w:pPr>
      <w:r>
        <w:rPr>
          <w:rFonts w:ascii="Calibri" w:hAnsi="Calibri"/>
          <w:b/>
          <w:color w:val="525866"/>
          <w:sz w:val="22"/>
        </w:rPr>
        <w:t xml:space="preserve">July 14, 2026 — HSBC Downgrades to Reduce ($191 PT): </w:t>
      </w:r>
      <w:r>
        <w:rPr>
          <w:rFonts w:ascii="Calibri" w:hAnsi="Calibri"/>
          <w:color w:val="525866"/>
          <w:sz w:val="22"/>
        </w:rPr>
        <w:t xml:space="preserve">HSBC cut IBM to Reduce from Hold, slashing its PT to $191 from $231 — Wall Street’s most bearish view. HSBC proposed a “synthetic IBM” basket (IonQ, SAP, Accenture, HP Inc.) as a superior alternative. </w:t>
      </w:r>
      <w:r>
        <w:rPr>
          <w:rFonts w:ascii="Calibri" w:hAnsi="Calibri"/>
          <w:i/>
          <w:color w:val="525866"/>
          <w:sz w:val="22"/>
        </w:rPr>
        <w:t>Implication: Signals potential for further analyst downgrades if July 22 guidance disappoints.</w:t>
      </w:r>
    </w:p>
    <w:p>
      <w:pPr>
        <w:pStyle w:val="ListBullet"/>
        <w:ind w:left="360" w:hanging="360"/>
      </w:pPr>
      <w:r>
        <w:rPr>
          <w:rFonts w:ascii="Calibri" w:hAnsi="Calibri"/>
          <w:b/>
          <w:color w:val="525866"/>
          <w:sz w:val="22"/>
        </w:rPr>
        <w:t xml:space="preserve">July 14, 2026 — Activist Risk Flagged: </w:t>
      </w:r>
      <w:r>
        <w:rPr>
          <w:rFonts w:ascii="Calibri" w:hAnsi="Calibri"/>
          <w:color w:val="525866"/>
          <w:sz w:val="22"/>
        </w:rPr>
        <w:t xml:space="preserve">WSJ reported IBM’s board and advisors are aware the stock’s weakness could expose the company to an activist campaign. </w:t>
      </w:r>
      <w:r>
        <w:rPr>
          <w:rFonts w:ascii="Calibri" w:hAnsi="Calibri"/>
          <w:i/>
          <w:color w:val="525866"/>
          <w:sz w:val="22"/>
        </w:rPr>
        <w:t>Implication: Adds pressure on management to deliver a credible strategic response on July 22.</w:t>
      </w:r>
    </w:p>
    <w:p>
      <w:pPr>
        <w:pStyle w:val="ListBullet"/>
        <w:ind w:left="360" w:hanging="360"/>
      </w:pPr>
      <w:r>
        <w:rPr>
          <w:rFonts w:ascii="Calibri" w:hAnsi="Calibri"/>
          <w:b/>
          <w:color w:val="525866"/>
          <w:sz w:val="22"/>
        </w:rPr>
        <w:t xml:space="preserve">July 14, 2026 — Lightwell Launch (AI/Cybersecurity): </w:t>
      </w:r>
      <w:r>
        <w:rPr>
          <w:rFonts w:ascii="Calibri" w:hAnsi="Calibri"/>
          <w:color w:val="525866"/>
          <w:sz w:val="22"/>
        </w:rPr>
        <w:t xml:space="preserve">IBM and Red Hat launched Lightwell, a $5B commitment to create a “trusted enterprise clearinghouse” for open-source software vulnerabilities, backed by 20,000+ engineers and frontier AI. Early adopters include Bank of America, BNY, Citi, Goldman Sachs, JPMorganChase, Mastercard, Morgan Stanley, RBC, State Street, Visa, and Wells Fargo. General availability announced July 8. </w:t>
      </w:r>
      <w:r>
        <w:rPr>
          <w:rFonts w:ascii="Calibri" w:hAnsi="Calibri"/>
          <w:i/>
          <w:color w:val="525866"/>
          <w:sz w:val="22"/>
        </w:rPr>
        <w:t>Implication: Positive strategic signal; demonstrates IBM’s ability to monetize cybersecurity/AI intersection, but near-term revenue contribution is unclear.</w:t>
      </w:r>
    </w:p>
    <w:p>
      <w:pPr>
        <w:pStyle w:val="ListBullet"/>
        <w:ind w:left="360" w:hanging="360"/>
      </w:pPr>
      <w:r>
        <w:rPr>
          <w:rFonts w:ascii="Calibri" w:hAnsi="Calibri"/>
          <w:b/>
          <w:color w:val="525866"/>
          <w:sz w:val="22"/>
        </w:rPr>
        <w:t xml:space="preserve">July 10, 2026 — Susquehanna Initiates at Neutral ($303 PT): </w:t>
      </w:r>
      <w:r>
        <w:rPr>
          <w:rFonts w:ascii="Calibri" w:hAnsi="Calibri"/>
          <w:color w:val="525866"/>
          <w:sz w:val="22"/>
        </w:rPr>
        <w:t xml:space="preserve">Analyst James Friedman valued IBM’s quantum division at $65/share but warned AI-assisted COBOL modernization could compress mainframe annuity and consulting pricing power. Characterized IBM’s AI business as “sitting in low-margin consulting.” Stock fell 2.6% on the day. </w:t>
      </w:r>
      <w:r>
        <w:rPr>
          <w:rFonts w:ascii="Calibri" w:hAnsi="Calibri"/>
          <w:i/>
          <w:color w:val="525866"/>
          <w:sz w:val="22"/>
        </w:rPr>
        <w:t>Implication: Neutral initiation from a new analyst adds to cautious sentiment heading into earnings.</w:t>
      </w:r>
    </w:p>
    <w:p>
      <w:pPr>
        <w:pStyle w:val="ListBullet"/>
        <w:ind w:left="360" w:hanging="360"/>
      </w:pPr>
      <w:r>
        <w:rPr>
          <w:rFonts w:ascii="Calibri" w:hAnsi="Calibri"/>
          <w:b/>
          <w:color w:val="525866"/>
          <w:sz w:val="22"/>
        </w:rPr>
        <w:t xml:space="preserve">July 10, 2026 — Starbucks AI Displacement Risk: </w:t>
      </w:r>
      <w:r>
        <w:rPr>
          <w:rFonts w:ascii="Calibri" w:hAnsi="Calibri"/>
          <w:color w:val="525866"/>
          <w:sz w:val="22"/>
        </w:rPr>
        <w:t xml:space="preserve">Bloomberg reported Starbucks is using proprietary AI tools to reduce reliance on packaged software from IBM and Microsoft. Stock fell ~2% on the news. </w:t>
      </w:r>
      <w:r>
        <w:rPr>
          <w:rFonts w:ascii="Calibri" w:hAnsi="Calibri"/>
          <w:i/>
          <w:color w:val="525866"/>
          <w:sz w:val="22"/>
        </w:rPr>
        <w:t>Implication: Validates the structural risk narrative that AI-native tools could displace IBM’s software offerings.</w:t>
      </w:r>
    </w:p>
    <w:p>
      <w:pPr>
        <w:pStyle w:val="ListBullet"/>
        <w:ind w:left="360" w:hanging="360"/>
      </w:pPr>
      <w:r>
        <w:rPr>
          <w:rFonts w:ascii="Calibri" w:hAnsi="Calibri"/>
          <w:b/>
          <w:color w:val="525866"/>
          <w:sz w:val="22"/>
        </w:rPr>
        <w:t xml:space="preserve">June 23, 2026 — IBM Extends $10B Credit Facilities by One Year (8-K): </w:t>
      </w:r>
      <w:r>
        <w:rPr>
          <w:rFonts w:ascii="Calibri" w:hAnsi="Calibri"/>
          <w:color w:val="525866"/>
          <w:sz w:val="22"/>
        </w:rPr>
        <w:t xml:space="preserve">IBM extended the maturity on its $10B credit facilities by one year. </w:t>
      </w:r>
      <w:r>
        <w:rPr>
          <w:rFonts w:ascii="Calibri" w:hAnsi="Calibri"/>
          <w:i/>
          <w:color w:val="525866"/>
          <w:sz w:val="22"/>
        </w:rPr>
        <w:t>Implication: Positive liquidity signal; preserves financial flexibility for M&amp;A and capital allocation.</w:t>
      </w:r>
    </w:p>
    <w:p>
      <w:pPr>
        <w:pStyle w:val="ListBullet"/>
        <w:ind w:left="360" w:hanging="360"/>
      </w:pPr>
      <w:r>
        <w:rPr>
          <w:rFonts w:ascii="Calibri" w:hAnsi="Calibri"/>
          <w:b/>
          <w:color w:val="525866"/>
          <w:sz w:val="22"/>
        </w:rPr>
        <w:t xml:space="preserve">May 2026 — Anderon Quantum Foundry Announcement: </w:t>
      </w:r>
      <w:r>
        <w:rPr>
          <w:rFonts w:ascii="Calibri" w:hAnsi="Calibri"/>
          <w:color w:val="525866"/>
          <w:sz w:val="22"/>
        </w:rPr>
        <w:t xml:space="preserve">IBM and the U.S. Department of Commerce announced a Letter of Intent to build Anderon, the world’s first pure-play quantum wafer foundry, supported by $1B in CHIPS Act incentives and $1B IBM cash contribution. IBM also disclosed plans to invest $10B+ in quantum over five years. </w:t>
      </w:r>
      <w:r>
        <w:rPr>
          <w:rFonts w:ascii="Calibri" w:hAnsi="Calibri"/>
          <w:i/>
          <w:color w:val="525866"/>
          <w:sz w:val="22"/>
        </w:rPr>
        <w:t>Implication: Long-term strategic optionality; near-term financial impact is dilutive but signals government partnership and quantum leadership.</w:t>
      </w:r>
    </w:p>
    <w:p>
      <w:pPr>
        <w:pStyle w:val="ListBullet"/>
        <w:ind w:left="360" w:hanging="360"/>
      </w:pPr>
      <w:r>
        <w:rPr>
          <w:rFonts w:ascii="Calibri" w:hAnsi="Calibri"/>
          <w:b/>
          <w:color w:val="525866"/>
          <w:sz w:val="22"/>
        </w:rPr>
        <w:t xml:space="preserve">May 11–12, 2026 — Red Hat Summit / IBM Think 2026: </w:t>
      </w:r>
      <w:r>
        <w:rPr>
          <w:rFonts w:ascii="Calibri" w:hAnsi="Calibri"/>
          <w:color w:val="525866"/>
          <w:sz w:val="22"/>
        </w:rPr>
        <w:t xml:space="preserve">Red Hat launched Ansible Automation Platform as the “trusted execution layer for IT operations in an agentic era,” new developer tools for agentic AI, and major advancements to Red Hat AI. IBM Think 2026 featured CEO Krishna outlining how AI and quantum will define the enterprise. </w:t>
      </w:r>
      <w:r>
        <w:rPr>
          <w:rFonts w:ascii="Calibri" w:hAnsi="Calibri"/>
          <w:i/>
          <w:color w:val="525866"/>
          <w:sz w:val="22"/>
        </w:rPr>
        <w:t>Implication: Reinforces the Red Hat/AI platform narrative; product launches support the Software growth thesis.</w:t>
      </w:r>
    </w:p>
    <w:p>
      <w:r>
        <w:br w:type="page"/>
      </w:r>
    </w:p>
    <w:p>
      <w:pPr>
        <w:pStyle w:val="Heading2"/>
      </w:pPr>
      <w:r>
        <w:rPr>
          <w:rFonts w:ascii="Calibri" w:hAnsi="Calibri"/>
          <w:b/>
          <w:color w:val="3B4259"/>
          <w:sz w:val="28"/>
        </w:rPr>
        <w:t>7. Peer Commentaries / Read-Throughs (Last 60 Days)</w:t>
      </w:r>
    </w:p>
    <w:p>
      <w:r>
        <w:rPr>
          <w:rFonts w:ascii="Calibri" w:hAnsi="Calibri"/>
          <w:b/>
          <w:color w:val="525866"/>
          <w:sz w:val="22"/>
        </w:rPr>
        <w:t xml:space="preserve">Key Takeaway: </w:t>
      </w:r>
      <w:r>
        <w:rPr>
          <w:rFonts w:ascii="Calibri" w:hAnsi="Calibri"/>
          <w:color w:val="525866"/>
          <w:sz w:val="22"/>
        </w:rPr>
        <w:t>Peer commentary from Accenture (Q3 FY2026, reported June 18) and Oracle (Q4 FY2026, reported June 10) provides important read-throughs for IBM’s Q2 2026 quarter. Accenture flagged geopolitical-driven discretionary spending headwinds and large deal slippage in EMEA — directly corroborating IBM’s explanation for deal timing failures. Oracle’s commentary on surging AI infrastructure demand and rising component costs (memory, SSDs) validates IBM’s capex-reprioritization thesis.</w:t>
      </w:r>
    </w:p>
    <w:p>
      <w:r>
        <w:rPr>
          <w:rFonts w:ascii="Calibri" w:hAnsi="Calibri"/>
          <w:b/>
          <w:color w:val="525866"/>
          <w:sz w:val="22"/>
        </w:rPr>
        <w:t xml:space="preserve">Note on Scope: </w:t>
      </w:r>
      <w:r>
        <w:rPr>
          <w:rFonts w:ascii="Calibri" w:hAnsi="Calibri"/>
          <w:i/>
          <w:color w:val="525866"/>
          <w:sz w:val="22"/>
        </w:rPr>
        <w:t>Only forward-looking commentary about the peers’ current reporting quarter (i.e., the quarter that overlaps with IBM’s Q2 2026, ending June 30, 2026) or post-last-earnings conditions is included below. Backward-looking commentary about the peers’ just-reported results has been excluded.</w:t>
      </w:r>
    </w:p>
    <w:p>
      <w:pPr>
        <w:pStyle w:val="Heading3"/>
      </w:pPr>
      <w:r>
        <w:rPr>
          <w:rFonts w:ascii="Calibri" w:hAnsi="Calibri"/>
          <w:b/>
          <w:color w:val="3B4259"/>
          <w:sz w:val="24"/>
        </w:rPr>
        <w:t>Accenture (ACN) — Q3 FY2026 Earnings Call, June 18, 2026</w:t>
      </w:r>
    </w:p>
    <w:p>
      <w:r>
        <w:rPr>
          <w:rFonts w:ascii="Calibri" w:hAnsi="Calibri"/>
          <w:i/>
          <w:color w:val="525866"/>
          <w:sz w:val="22"/>
        </w:rPr>
        <w:t>Accenture’s Q3 FY2026 call (reporting the quarter ended May 31, 2026) provided forward-looking commentary about Q4 FY2026 (June–August 2026) conditions — which directly overlaps with IBM’s Q2 2026 (April–June 2026). This is the most directly relevant peer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Accenture Commentary (Forward-Looking, Q4 FY2026 Outlook)</w:t>
            </w:r>
          </w:p>
        </w:tc>
        <w:tc>
          <w:tcPr>
            <w:tcW w:type="dxa" w:w="2880"/>
            <w:shd w:val="clear" w:color="auto" w:fill="3B4259"/>
          </w:tcPr>
          <w:p>
            <w:r>
              <w:rPr>
                <w:rFonts w:ascii="Calibri" w:hAnsi="Calibri"/>
                <w:b/>
                <w:color w:val="FFFFFF"/>
                <w:sz w:val="22"/>
              </w:rPr>
              <w:t>IBM Read-Through</w:t>
            </w:r>
          </w:p>
        </w:tc>
      </w:tr>
      <w:tr>
        <w:tc>
          <w:tcPr>
            <w:tcW w:type="dxa" w:w="2880"/>
          </w:tcPr>
          <w:p>
            <w:r>
              <w:rPr>
                <w:rFonts w:ascii="Calibri" w:hAnsi="Calibri"/>
                <w:sz w:val="22"/>
              </w:rPr>
              <w:t>Geopolitical / Discretionary Spending Headwinds</w:t>
            </w:r>
          </w:p>
        </w:tc>
        <w:tc>
          <w:tcPr>
            <w:tcW w:type="dxa" w:w="2880"/>
          </w:tcPr>
          <w:p>
            <w:r>
              <w:rPr>
                <w:rFonts w:ascii="Calibri" w:hAnsi="Calibri"/>
                <w:sz w:val="22"/>
              </w:rPr>
              <w:t>Accenture flagged ~$100M revenue impact in Q3 from the Middle East conflict, split evenly between direct Middle East exposure and indirect global effects on discretionary spend (products and resources). CFO confirmed: “the impact that we saw was really at the latter part or the last few weeks of the quarter. And so we expect that to continue for the full of Q4.” CEO Sweet noted “more of the range is in play” for Q4 guidance due to this uncertainty.</w:t>
            </w:r>
          </w:p>
        </w:tc>
        <w:tc>
          <w:tcPr>
            <w:tcW w:type="dxa" w:w="2880"/>
          </w:tcPr>
          <w:p>
            <w:r>
              <w:rPr>
                <w:rFonts w:ascii="Calibri" w:hAnsi="Calibri"/>
                <w:b/>
                <w:sz w:val="22"/>
              </w:rPr>
              <w:t xml:space="preserve">NEGATIVE for IBM. </w:t>
            </w:r>
            <w:r>
              <w:rPr>
                <w:rFonts w:ascii="Calibri" w:hAnsi="Calibri"/>
                <w:sz w:val="22"/>
              </w:rPr>
              <w:t>Directly corroborates IBM’s explanation that clients were “distracted with rapidly-evolving, industry-wide cybersecurity concerns” and that large deals failed to close in late June. The late-quarter timing of Accenture’s headwind matches IBM’s description of a late-June capex shift.</w:t>
            </w:r>
          </w:p>
        </w:tc>
      </w:tr>
      <w:tr>
        <w:tc>
          <w:tcPr>
            <w:tcW w:type="dxa" w:w="2880"/>
          </w:tcPr>
          <w:p>
            <w:r>
              <w:rPr>
                <w:rFonts w:ascii="Calibri" w:hAnsi="Calibri"/>
                <w:sz w:val="22"/>
              </w:rPr>
              <w:t>Large Deal Slippage</w:t>
            </w:r>
          </w:p>
        </w:tc>
        <w:tc>
          <w:tcPr>
            <w:tcW w:type="dxa" w:w="2880"/>
          </w:tcPr>
          <w:p>
            <w:r>
              <w:rPr>
                <w:rFonts w:ascii="Calibri" w:hAnsi="Calibri"/>
                <w:sz w:val="22"/>
              </w:rPr>
              <w:t>Accenture reported “a couple of our large managed services opportunities moved into FY27 for company-specific reasons.” CEO Sweet clarified these were $300–500M deals that pushed to FY2027, not just Q4. “We’ve seen a couple of the big lumpy bigger ones move out for company-specific reasons to FY27.”</w:t>
            </w:r>
          </w:p>
        </w:tc>
        <w:tc>
          <w:tcPr>
            <w:tcW w:type="dxa" w:w="2880"/>
          </w:tcPr>
          <w:p>
            <w:r>
              <w:rPr>
                <w:rFonts w:ascii="Calibri" w:hAnsi="Calibri"/>
                <w:b/>
                <w:sz w:val="22"/>
              </w:rPr>
              <w:t xml:space="preserve">NEGATIVE for IBM. </w:t>
            </w:r>
            <w:r>
              <w:rPr>
                <w:rFonts w:ascii="Calibri" w:hAnsi="Calibri"/>
                <w:sz w:val="22"/>
              </w:rPr>
              <w:t>Validates IBM’s statement that “numerous large deals failed to close on the timelines we expected.” Large deal slippage appears to be an industry-wide phenomenon in Q2 2026, not IBM-specific execution failure alone.</w:t>
            </w:r>
          </w:p>
        </w:tc>
      </w:tr>
      <w:tr>
        <w:tc>
          <w:tcPr>
            <w:tcW w:type="dxa" w:w="2880"/>
          </w:tcPr>
          <w:p>
            <w:r>
              <w:rPr>
                <w:rFonts w:ascii="Calibri" w:hAnsi="Calibri"/>
                <w:sz w:val="22"/>
              </w:rPr>
              <w:t>AI Demand Acceleration (Positive Offset)</w:t>
            </w:r>
          </w:p>
        </w:tc>
        <w:tc>
          <w:tcPr>
            <w:tcW w:type="dxa" w:w="2880"/>
          </w:tcPr>
          <w:p>
            <w:r>
              <w:rPr>
                <w:rFonts w:ascii="Calibri" w:hAnsi="Calibri"/>
                <w:sz w:val="22"/>
              </w:rPr>
              <w:t>Accenture noted “more clients move from pilots to production” and “another 100 clients initiate advanced AI projects” in Q3. Bookings from key AI/data partners (Anthropic, Databricks, Gemini, NVIDIA, OpenAI, Palantir, Snowflake) are “on track to more than double” vs. FY2025. Average AI project size is “steadily increasing.”</w:t>
            </w:r>
          </w:p>
        </w:tc>
        <w:tc>
          <w:tcPr>
            <w:tcW w:type="dxa" w:w="2880"/>
          </w:tcPr>
          <w:p>
            <w:r>
              <w:rPr>
                <w:rFonts w:ascii="Calibri" w:hAnsi="Calibri"/>
                <w:b/>
                <w:sz w:val="22"/>
              </w:rPr>
              <w:t xml:space="preserve">POSITIVE for IBM Consulting. </w:t>
            </w:r>
            <w:r>
              <w:rPr>
                <w:rFonts w:ascii="Calibri" w:hAnsi="Calibri"/>
                <w:sz w:val="22"/>
              </w:rPr>
              <w:t>Supports IBM’s GenAI consulting backlog thesis (~30% of backlog). The shift from pilots to production is a tailwind for IBM’s Consulting GenAI revenue conversion.</w:t>
            </w:r>
          </w:p>
        </w:tc>
      </w:tr>
      <w:tr>
        <w:tc>
          <w:tcPr>
            <w:tcW w:type="dxa" w:w="2880"/>
          </w:tcPr>
          <w:p>
            <w:r>
              <w:rPr>
                <w:rFonts w:ascii="Calibri" w:hAnsi="Calibri"/>
                <w:sz w:val="22"/>
              </w:rPr>
              <w:t>IT Budget Dynamics / Token Optimization</w:t>
            </w:r>
          </w:p>
        </w:tc>
        <w:tc>
          <w:tcPr>
            <w:tcW w:type="dxa" w:w="2880"/>
          </w:tcPr>
          <w:p>
            <w:r>
              <w:rPr>
                <w:rFonts w:ascii="Calibri" w:hAnsi="Calibri"/>
                <w:sz w:val="22"/>
              </w:rPr>
              <w:t>Accenture observed clients are “struggling with the ROI” of AI spending and optimizing token usage. “Because the budgets haven’t been, you know, even with AI, they’re spending it differently, but they haven’t been increasing.” Accenture is building a “token optimization” practice analogous to its cloud FinOps practice.</w:t>
            </w:r>
          </w:p>
        </w:tc>
        <w:tc>
          <w:tcPr>
            <w:tcW w:type="dxa" w:w="2880"/>
          </w:tcPr>
          <w:p>
            <w:r>
              <w:rPr>
                <w:rFonts w:ascii="Calibri" w:hAnsi="Calibri"/>
                <w:b/>
                <w:sz w:val="22"/>
              </w:rPr>
              <w:t xml:space="preserve">MIXED for IBM. </w:t>
            </w:r>
            <w:r>
              <w:rPr>
                <w:rFonts w:ascii="Calibri" w:hAnsi="Calibri"/>
                <w:sz w:val="22"/>
              </w:rPr>
              <w:t>Flat overall IT budgets with internal reallocation toward AI hardware directly validates IBM’s capex-reprioritization thesis. However, the token optimization opportunity is a consulting tailwind for IBM.</w:t>
            </w:r>
          </w:p>
        </w:tc>
      </w:tr>
      <w:tr>
        <w:tc>
          <w:tcPr>
            <w:tcW w:type="dxa" w:w="2880"/>
          </w:tcPr>
          <w:p>
            <w:r>
              <w:rPr>
                <w:rFonts w:ascii="Calibri" w:hAnsi="Calibri"/>
                <w:sz w:val="22"/>
              </w:rPr>
              <w:t>Q4 FY2026 Revenue Guidance</w:t>
            </w:r>
          </w:p>
        </w:tc>
        <w:tc>
          <w:tcPr>
            <w:tcW w:type="dxa" w:w="2880"/>
          </w:tcPr>
          <w:p>
            <w:r>
              <w:rPr>
                <w:rFonts w:ascii="Calibri" w:hAnsi="Calibri"/>
                <w:sz w:val="22"/>
              </w:rPr>
              <w:t>Accenture guided Q4 FY2026 revenues of $17.75B–$18.4B (1%–5% local currency growth), with “more of the guided range in play” due to macro uncertainty. Federal business expected to “anniversary the headwind and get back to growth in Q4.”</w:t>
            </w:r>
          </w:p>
        </w:tc>
        <w:tc>
          <w:tcPr>
            <w:tcW w:type="dxa" w:w="2880"/>
          </w:tcPr>
          <w:p>
            <w:r>
              <w:rPr>
                <w:rFonts w:ascii="Calibri" w:hAnsi="Calibri"/>
                <w:b/>
                <w:sz w:val="22"/>
              </w:rPr>
              <w:t xml:space="preserve">MIXED for IBM. </w:t>
            </w:r>
            <w:r>
              <w:rPr>
                <w:rFonts w:ascii="Calibri" w:hAnsi="Calibri"/>
                <w:sz w:val="22"/>
              </w:rPr>
              <w:t>The wide guidance range and cautious tone suggest the consulting/IT services environment remains uncertain heading into IBM’s Q2 2026 reporting period. Federal recovery is a modest positive for IBM’s public sector exposure.</w:t>
            </w:r>
          </w:p>
        </w:tc>
      </w:tr>
    </w:tbl>
    <w:p>
      <w:r>
        <w:rPr>
          <w:rFonts w:ascii="Calibri" w:hAnsi="Calibri"/>
          <w:i/>
          <w:color w:val="525866"/>
          <w:sz w:val="22"/>
        </w:rPr>
        <w:t>Sources: Accenture Q3 FY2026 Earnings Call Transcript (June 18, 2026); Oracle Q4 FY2026 Earnings Call Transcript (June 10,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in the SEC Form 4 database for IBM in the period since Q1 2026 earnings (April 22, 2026) through the preparation date (July 21, 2026). The absence of insider buying following the historic 25% stock collapse on July 14–15 is notable — it does not signal conviction from insiders at current levels, though the blackout period ahead of July 22 earnings would preclude open-market transactions.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 (Form 4, codes P/S) for IBM insiders since April 22,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Earnings blackout period likely in effect ahead of July 22 earnings call.</w:t>
            </w:r>
          </w:p>
        </w:tc>
      </w:tr>
    </w:tbl>
    <w:p>
      <w:r>
        <w:rPr>
          <w:rFonts w:ascii="Calibri" w:hAnsi="Calibri"/>
          <w:i/>
          <w:color w:val="525866"/>
          <w:sz w:val="22"/>
        </w:rPr>
        <w:t>Source: SEC Form 4 Filings Database (insider transactions, open-market buys/sells, codes P/S, April 22 – July 21, 2026). No qualifying transactions found.</w:t>
      </w:r>
    </w:p>
    <w:p>
      <w:r>
        <w:br w:type="page"/>
      </w:r>
    </w:p>
    <w:p>
      <w:pPr>
        <w:pStyle w:val="Heading2"/>
      </w:pPr>
      <w:r>
        <w:rPr>
          <w:rFonts w:ascii="Calibri" w:hAnsi="Calibri"/>
          <w:b/>
          <w:color w:val="3B4259"/>
          <w:sz w:val="28"/>
        </w:rPr>
        <w:t>Appendix: 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Valuation 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 Month Ago</w:t>
            </w:r>
          </w:p>
        </w:tc>
        <w:tc>
          <w:tcPr>
            <w:tcW w:type="dxa" w:w="1440"/>
            <w:shd w:val="clear" w:color="auto" w:fill="3B4259"/>
          </w:tcPr>
          <w:p>
            <w:r>
              <w:rPr>
                <w:rFonts w:ascii="Calibri" w:hAnsi="Calibri"/>
                <w:b/>
                <w:color w:val="FFFFFF"/>
                <w:sz w:val="22"/>
              </w:rPr>
              <w:t>3 Months Ago</w:t>
            </w:r>
          </w:p>
        </w:tc>
        <w:tc>
          <w:tcPr>
            <w:tcW w:type="dxa" w:w="1440"/>
            <w:shd w:val="clear" w:color="auto" w:fill="3B4259"/>
          </w:tcPr>
          <w:p>
            <w:r>
              <w:rPr>
                <w:rFonts w:ascii="Calibri" w:hAnsi="Calibri"/>
                <w:b/>
                <w:color w:val="FFFFFF"/>
                <w:sz w:val="22"/>
              </w:rPr>
              <w:t>6 Months Ago</w:t>
            </w:r>
          </w:p>
        </w:tc>
        <w:tc>
          <w:tcPr>
            <w:tcW w:type="dxa" w:w="1440"/>
            <w:shd w:val="clear" w:color="auto" w:fill="3B4259"/>
          </w:tcPr>
          <w:p>
            <w:r>
              <w:rPr>
                <w:rFonts w:ascii="Calibri" w:hAnsi="Calibri"/>
                <w:b/>
                <w:color w:val="FFFFFF"/>
                <w:sz w:val="22"/>
              </w:rPr>
              <w:t>12 Months Ago</w:t>
            </w:r>
          </w:p>
        </w:tc>
      </w:tr>
      <w:tr>
        <w:tc>
          <w:tcPr>
            <w:tcW w:type="dxa" w:w="1440"/>
          </w:tcPr>
          <w:p>
            <w:r>
              <w:rPr>
                <w:rFonts w:ascii="Calibri" w:hAnsi="Calibri"/>
                <w:sz w:val="22"/>
              </w:rPr>
              <w:t>EV / EBITDA</w:t>
            </w:r>
          </w:p>
        </w:tc>
        <w:tc>
          <w:tcPr>
            <w:tcW w:type="dxa" w:w="1440"/>
          </w:tcPr>
          <w:p>
            <w:r>
              <w:rPr>
                <w:rFonts w:ascii="Calibri" w:hAnsi="Calibri"/>
                <w:sz w:val="22"/>
              </w:rPr>
              <w:t>12.4x</w:t>
            </w:r>
          </w:p>
        </w:tc>
        <w:tc>
          <w:tcPr>
            <w:tcW w:type="dxa" w:w="1440"/>
          </w:tcPr>
          <w:p>
            <w:r>
              <w:rPr>
                <w:rFonts w:ascii="Calibri" w:hAnsi="Calibri"/>
                <w:sz w:val="22"/>
              </w:rPr>
              <w:t>14.3x</w:t>
            </w:r>
          </w:p>
        </w:tc>
        <w:tc>
          <w:tcPr>
            <w:tcW w:type="dxa" w:w="1440"/>
          </w:tcPr>
          <w:p>
            <w:r>
              <w:rPr>
                <w:rFonts w:ascii="Calibri" w:hAnsi="Calibri"/>
                <w:sz w:val="22"/>
              </w:rPr>
              <w:t>13.6x</w:t>
            </w:r>
          </w:p>
        </w:tc>
        <w:tc>
          <w:tcPr>
            <w:tcW w:type="dxa" w:w="1440"/>
          </w:tcPr>
          <w:p>
            <w:r>
              <w:rPr>
                <w:rFonts w:ascii="Calibri" w:hAnsi="Calibri"/>
                <w:sz w:val="22"/>
              </w:rPr>
              <w:t>16.3x</w:t>
            </w:r>
          </w:p>
        </w:tc>
        <w:tc>
          <w:tcPr>
            <w:tcW w:type="dxa" w:w="1440"/>
          </w:tcPr>
          <w:p>
            <w:r>
              <w:rPr>
                <w:rFonts w:ascii="Calibri" w:hAnsi="Calibri"/>
                <w:sz w:val="22"/>
              </w:rPr>
              <w:t>16.7x</w:t>
            </w:r>
          </w:p>
        </w:tc>
      </w:tr>
      <w:tr>
        <w:tc>
          <w:tcPr>
            <w:tcW w:type="dxa" w:w="1440"/>
          </w:tcPr>
          <w:p>
            <w:r>
              <w:rPr>
                <w:rFonts w:ascii="Calibri" w:hAnsi="Calibri"/>
                <w:sz w:val="22"/>
              </w:rPr>
              <w:t>P / E (NTM)</w:t>
            </w:r>
          </w:p>
        </w:tc>
        <w:tc>
          <w:tcPr>
            <w:tcW w:type="dxa" w:w="1440"/>
          </w:tcPr>
          <w:p>
            <w:r>
              <w:rPr>
                <w:rFonts w:ascii="Calibri" w:hAnsi="Calibri"/>
                <w:sz w:val="22"/>
              </w:rPr>
              <w:t>20.6x</w:t>
            </w:r>
          </w:p>
        </w:tc>
        <w:tc>
          <w:tcPr>
            <w:tcW w:type="dxa" w:w="1440"/>
          </w:tcPr>
          <w:p>
            <w:r>
              <w:rPr>
                <w:rFonts w:ascii="Calibri" w:hAnsi="Calibri"/>
                <w:sz w:val="22"/>
              </w:rPr>
              <w:t>24.5x</w:t>
            </w:r>
          </w:p>
        </w:tc>
        <w:tc>
          <w:tcPr>
            <w:tcW w:type="dxa" w:w="1440"/>
          </w:tcPr>
          <w:p>
            <w:r>
              <w:rPr>
                <w:rFonts w:ascii="Calibri" w:hAnsi="Calibri"/>
                <w:sz w:val="22"/>
              </w:rPr>
              <w:t>23.8x</w:t>
            </w:r>
          </w:p>
        </w:tc>
        <w:tc>
          <w:tcPr>
            <w:tcW w:type="dxa" w:w="1440"/>
          </w:tcPr>
          <w:p>
            <w:r>
              <w:rPr>
                <w:rFonts w:ascii="Calibri" w:hAnsi="Calibri"/>
                <w:sz w:val="22"/>
              </w:rPr>
              <w:t>28.6x</w:t>
            </w:r>
          </w:p>
        </w:tc>
        <w:tc>
          <w:tcPr>
            <w:tcW w:type="dxa" w:w="1440"/>
          </w:tcPr>
          <w:p>
            <w:r>
              <w:rPr>
                <w:rFonts w:ascii="Calibri" w:hAnsi="Calibri"/>
                <w:sz w:val="22"/>
              </w:rPr>
              <w:t>29.5x</w:t>
            </w:r>
          </w:p>
        </w:tc>
      </w:tr>
      <w:tr>
        <w:tc>
          <w:tcPr>
            <w:tcW w:type="dxa" w:w="1440"/>
          </w:tcPr>
          <w:p>
            <w:r>
              <w:rPr>
                <w:rFonts w:ascii="Calibri" w:hAnsi="Calibri"/>
                <w:sz w:val="22"/>
              </w:rPr>
              <w:t>P / FCF (NTM)</w:t>
            </w:r>
          </w:p>
        </w:tc>
        <w:tc>
          <w:tcPr>
            <w:tcW w:type="dxa" w:w="1440"/>
          </w:tcPr>
          <w:p>
            <w:r>
              <w:rPr>
                <w:rFonts w:ascii="Calibri" w:hAnsi="Calibri"/>
                <w:sz w:val="22"/>
              </w:rPr>
              <w:t>13.0x</w:t>
            </w:r>
          </w:p>
        </w:tc>
        <w:tc>
          <w:tcPr>
            <w:tcW w:type="dxa" w:w="1440"/>
          </w:tcPr>
          <w:p>
            <w:r>
              <w:rPr>
                <w:rFonts w:ascii="Calibri" w:hAnsi="Calibri"/>
                <w:sz w:val="22"/>
              </w:rPr>
              <w:t>15.3x</w:t>
            </w:r>
          </w:p>
        </w:tc>
        <w:tc>
          <w:tcPr>
            <w:tcW w:type="dxa" w:w="1440"/>
          </w:tcPr>
          <w:p>
            <w:r>
              <w:rPr>
                <w:rFonts w:ascii="Calibri" w:hAnsi="Calibri"/>
                <w:sz w:val="22"/>
              </w:rPr>
              <w:t>15.1x</w:t>
            </w:r>
          </w:p>
        </w:tc>
        <w:tc>
          <w:tcPr>
            <w:tcW w:type="dxa" w:w="1440"/>
          </w:tcPr>
          <w:p>
            <w:r>
              <w:rPr>
                <w:rFonts w:ascii="Calibri" w:hAnsi="Calibri"/>
                <w:sz w:val="22"/>
              </w:rPr>
              <w:t>18.9x</w:t>
            </w:r>
          </w:p>
        </w:tc>
        <w:tc>
          <w:tcPr>
            <w:tcW w:type="dxa" w:w="1440"/>
          </w:tcPr>
          <w:p>
            <w:r>
              <w:rPr>
                <w:rFonts w:ascii="Calibri" w:hAnsi="Calibri"/>
                <w:sz w:val="22"/>
              </w:rPr>
              <w:t>19.5x</w:t>
            </w:r>
          </w:p>
        </w:tc>
      </w:tr>
      <w:tr>
        <w:tc>
          <w:tcPr>
            <w:tcW w:type="dxa" w:w="1440"/>
          </w:tcPr>
          <w:p>
            <w:r>
              <w:rPr>
                <w:rFonts w:ascii="Calibri" w:hAnsi="Calibri"/>
                <w:sz w:val="22"/>
              </w:rPr>
              <w:t>EV / Sales (NTM)</w:t>
            </w:r>
          </w:p>
        </w:tc>
        <w:tc>
          <w:tcPr>
            <w:tcW w:type="dxa" w:w="1440"/>
          </w:tcPr>
          <w:p>
            <w:r>
              <w:rPr>
                <w:rFonts w:ascii="Calibri" w:hAnsi="Calibri"/>
                <w:sz w:val="22"/>
              </w:rPr>
              <w:t>3.6x</w:t>
            </w:r>
          </w:p>
        </w:tc>
        <w:tc>
          <w:tcPr>
            <w:tcW w:type="dxa" w:w="1440"/>
          </w:tcPr>
          <w:p>
            <w:r>
              <w:rPr>
                <w:rFonts w:ascii="Calibri" w:hAnsi="Calibri"/>
                <w:sz w:val="22"/>
              </w:rPr>
              <w:t>4.2x</w:t>
            </w:r>
          </w:p>
        </w:tc>
        <w:tc>
          <w:tcPr>
            <w:tcW w:type="dxa" w:w="1440"/>
          </w:tcPr>
          <w:p>
            <w:r>
              <w:rPr>
                <w:rFonts w:ascii="Calibri" w:hAnsi="Calibri"/>
                <w:sz w:val="22"/>
              </w:rPr>
              <w:t>4.0x</w:t>
            </w:r>
          </w:p>
        </w:tc>
        <w:tc>
          <w:tcPr>
            <w:tcW w:type="dxa" w:w="1440"/>
          </w:tcPr>
          <w:p>
            <w:r>
              <w:rPr>
                <w:rFonts w:ascii="Calibri" w:hAnsi="Calibri"/>
                <w:sz w:val="22"/>
              </w:rPr>
              <w:t>4.7x</w:t>
            </w:r>
          </w:p>
        </w:tc>
        <w:tc>
          <w:tcPr>
            <w:tcW w:type="dxa" w:w="1440"/>
          </w:tcPr>
          <w:p>
            <w:r>
              <w:rPr>
                <w:rFonts w:ascii="Calibri" w:hAnsi="Calibri"/>
                <w:sz w:val="22"/>
              </w:rPr>
              <w:t>4.6x</w:t>
            </w:r>
          </w:p>
        </w:tc>
      </w:tr>
      <w:tr>
        <w:tc>
          <w:tcPr>
            <w:tcW w:type="dxa" w:w="1440"/>
          </w:tcPr>
          <w:p>
            <w:r>
              <w:rPr>
                <w:rFonts w:ascii="Calibri" w:hAnsi="Calibri"/>
                <w:sz w:val="22"/>
              </w:rPr>
              <w:t>P / Book Value</w:t>
            </w:r>
          </w:p>
        </w:tc>
        <w:tc>
          <w:tcPr>
            <w:tcW w:type="dxa" w:w="1440"/>
          </w:tcPr>
          <w:p>
            <w:r>
              <w:rPr>
                <w:rFonts w:ascii="Calibri" w:hAnsi="Calibri"/>
                <w:sz w:val="22"/>
              </w:rPr>
              <w:t>5.1x</w:t>
            </w:r>
          </w:p>
        </w:tc>
        <w:tc>
          <w:tcPr>
            <w:tcW w:type="dxa" w:w="1440"/>
          </w:tcPr>
          <w:p>
            <w:r>
              <w:rPr>
                <w:rFonts w:ascii="Calibri" w:hAnsi="Calibri"/>
                <w:sz w:val="22"/>
              </w:rPr>
              <w:t>6.3x</w:t>
            </w:r>
          </w:p>
        </w:tc>
        <w:tc>
          <w:tcPr>
            <w:tcW w:type="dxa" w:w="1440"/>
          </w:tcPr>
          <w:p>
            <w:r>
              <w:rPr>
                <w:rFonts w:ascii="Calibri" w:hAnsi="Calibri"/>
                <w:sz w:val="22"/>
              </w:rPr>
              <w:t>6.1x</w:t>
            </w:r>
          </w:p>
        </w:tc>
        <w:tc>
          <w:tcPr>
            <w:tcW w:type="dxa" w:w="1440"/>
          </w:tcPr>
          <w:p>
            <w:r>
              <w:rPr>
                <w:rFonts w:ascii="Calibri" w:hAnsi="Calibri"/>
                <w:sz w:val="22"/>
              </w:rPr>
              <w:t>8.1x</w:t>
            </w:r>
          </w:p>
        </w:tc>
        <w:tc>
          <w:tcPr>
            <w:tcW w:type="dxa" w:w="1440"/>
          </w:tcPr>
          <w:p>
            <w:r>
              <w:rPr>
                <w:rFonts w:ascii="Calibri" w:hAnsi="Calibri"/>
                <w:sz w:val="22"/>
              </w:rPr>
              <w:t>7.8x</w:t>
            </w:r>
          </w:p>
        </w:tc>
      </w:tr>
    </w:tbl>
    <w:p>
      <w:r>
        <w:rPr>
          <w:rFonts w:ascii="Calibri" w:hAnsi="Calibri"/>
          <w:color w:val="525866"/>
          <w:sz w:val="22"/>
        </w:rPr>
        <w:t>IBM’s NTM EV/EBITDA of 12.4x represents a ~25% compression from 6 months ago (16.3x) and ~26% compression from 12 months ago (16.7x). The stock’s P/FCF of 13.0x is now at a significant discount to its recent history, and the 3.1% dividend yield (up from 2.2% pre-collapse) provides some valuation support. The key question is whether the current multiple appropriately discounts a multi-quarter headwind or represents an overreaction to a one-quarter execution miss.</w:t>
      </w:r>
    </w:p>
    <w:p>
      <w:r>
        <w:rPr>
          <w:rFonts w:ascii="Calibri" w:hAnsi="Calibri"/>
          <w:i/>
          <w:color w:val="525866"/>
          <w:sz w:val="22"/>
        </w:rPr>
        <w:t>Source: IBM Stock Performance Decomposition Data (NTM consensus multiples, July 21, 2026).</w:t>
      </w:r>
    </w:p>
    <w:p>
      <w:r>
        <w:rPr>
          <w:rFonts w:ascii="Calibri" w:hAnsi="Calibri"/>
          <w:b/>
          <w:i/>
          <w:color w:val="525866"/>
          <w:sz w:val="22"/>
        </w:rPr>
        <w:t>— End of IBM Q2 2026 Earnings Preview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