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~$14.7B vs. cons $14.42B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~$0.25 vs. cons $0.21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~40.0% vs. cons ~39.0%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14.6B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Gross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~38.5% vs. cons ~39.5% (Q3 2026, memory/substrate cost inflation)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/ Free Cash Flow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</m:t>
              </m:r>
              <m:r>
                <m:t>B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t>Y</m:t>
              </m:r>
              <m:r>
                <m:t>o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F</m:t>
              </m:r>
              <m:r>
                <m:t>Y</m:t>
              </m:r>
              <m:r>
                <m:t>F</m:t>
              </m:r>
              <m:r>
                <m:t>C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18.5B capex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Stock already ran +8.6% the session before print and is up 326% TTM, so even a clean beat-and-raise is largely priced in ('priced for perfection' per strategists, GuruFocus flagging ~273% overvaluation). A headline beat likely triggers an initial pop, but out-period math (persistent Foundry operating losses, rising memory/substrate costs flagged as a 2H headwind, and lack of a hard anchor customer commitment beyond Fortinet) gives sell-side room to trim FY26/FY27 margin and EPS estimates even after a Q2 beat, causing the initial move to fade over the following days as investors rotate out of a name with limited multiple upside left.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2026-07-23T01:07:32Z</dcterms:created>
  <dcterms:modified xsi:type="dcterms:W3CDTF">2026-07-23T01:07:32Z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