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intel-intc-q2-2026-earnings-preview"/>
    <w:p>
      <w:pPr>
        <w:pStyle w:val="Heading1"/>
      </w:pPr>
      <w:r>
        <w:t xml:space="preserve">Intel (INTC) Q2 2026 Earnings Preview</w:t>
      </w:r>
    </w:p>
    <w:p>
      <w:pPr>
        <w:pStyle w:val="FirstParagraph"/>
      </w:pPr>
      <w:r>
        <w:rPr>
          <w:b/>
          <w:bCs/>
        </w:rPr>
        <w:t xml:space="preserve">Report date:</w:t>
      </w:r>
      <w:r>
        <w:t xml:space="preserve"> </w:t>
      </w:r>
      <w:r>
        <w:t xml:space="preserve">Thursday, July 23, 2026, after market close |</w:t>
      </w:r>
      <w:r>
        <w:t xml:space="preserve"> </w:t>
      </w:r>
      <w:r>
        <w:rPr>
          <w:b/>
          <w:bCs/>
        </w:rPr>
        <w:t xml:space="preserve">Call:</w:t>
      </w:r>
      <w:r>
        <w:t xml:space="preserve"> </w:t>
      </w:r>
      <w:r>
        <w:t xml:space="preserve">2026Q2 Earnings Call</w:t>
      </w:r>
    </w:p>
    <w:p>
      <w:r>
        <w:pict>
          <v:rect style="width:0;height:1.5pt" o:hralign="center" o:hrstd="t" o:hr="t"/>
        </w:pict>
      </w:r>
    </w:p>
    <w:bookmarkStart w:id="9" w:name="X328ac6c5847ca9b75c1b79d2b3da1498bbf0e4e"/>
    <w:p>
      <w:pPr>
        <w:pStyle w:val="Heading2"/>
      </w:pPr>
      <w:r>
        <w:t xml:space="preserve">1. Setting the Stage: A Wild Ride Into the Print</w:t>
      </w:r>
    </w:p>
    <w:p>
      <w:pPr>
        <w:pStyle w:val="FirstParagraph"/>
      </w:pPr>
      <w:r>
        <w:t xml:space="preserve">Few large-cap stocks have moved as dramatically as Intel over the past year. After languishing in the high-teens/low-$20s through much of 2025, INTC has staged one of the most explosive rallies in the company's history under CEO Lip-Bu Tan (who took the helm in March 2025). By late June 2026 the stock had touched an all-time closing high near $141, before a sharp reversal knocked shares back into the</w:t>
      </w:r>
      <w:r>
        <w:t xml:space="preserve"> </w:t>
      </w:r>
      <m:oMath>
        <m:r>
          <m:t>95</m:t>
        </m:r>
        <m:r>
          <m:rPr>
            <m:sty m:val="p"/>
          </m:rPr>
          <m:t>–</m:t>
        </m:r>
      </m:oMath>
      <w:r>
        <w:t xml:space="preserve">110 range heading into this print.</w:t>
      </w:r>
    </w:p>
    <w:p>
      <w:pPr>
        <w:pStyle w:val="BodyText"/>
      </w:pPr>
      <w:r>
        <w:t xml:space="preserve">Intel (INTC) rallied 8.64% on July 21, 2026, driven by strategic announcements including an expanded AI collaboration with Google Cloud, new foundry customer Fortinet, and memory performance upgrades. That bounce followed a rough stretch: after soaring +326% over the trailing twelve months, Intel (INTC) stock sits at a fascinating juncture, and even after a monumental run, the chipmaker's stock asks investors to weigh resurgent demand for its core products against the steep and uncertain costs of its transformation. Notably, the stock still trades about 31% below its 52-week high going into earnings, reflecting a violent early-July selloff.</w:t>
      </w:r>
    </w:p>
    <w:p>
      <w:pPr>
        <w:pStyle w:val="BodyText"/>
      </w:pPr>
      <w:r>
        <w:t xml:space="preserve">The valuation debate is front and center. Consensus remains mixed with an overall "Hold" rating, and some caution stems from Intel's valuation, which GuruFocus flagged as overvalued by nearly 273% as of July 21. One strategist put it bluntly: the stock is "priced for perfection" ahead of earnings, implying limited upside if results disappoint. On more traditional metrics, Intel's stock trades at a price-to-sales ratio of 9.0, versus the 3.3 multiple of the S&amp;P 500, and forward earnings multiples are stretched given the company is only just returning to consistent non-GAAP profitability.</w:t>
      </w:r>
    </w:p>
    <w:p>
      <w:pPr>
        <w:pStyle w:val="BodyText"/>
      </w:pPr>
      <w:r>
        <w:t xml:space="preserve">That said, sell-side sentiment has turned sharply positive on the AI/foundry narrative: HSBC doubled its price target on Intel from $100 to $200, backing INTC's server CPU ramp in 2026–2027 and formally baking the foundry business into its valuation, while Bank of America lifted its INTC target from $135 to $160, tying the call to a larger $2.7T semiconductor market by 2030 driven by AI data centers and auto/industrial recovery. Not everyone is chasing it, though — Cantor Fitzgerald and Goldman Sachs both see INTC participating in a multi-year AI upcycle but stick with Neutral ratings and $150 targets, flagging execution and valuation risk.</w:t>
      </w:r>
    </w:p>
    <w:bookmarkEnd w:id="9"/>
    <w:bookmarkStart w:id="10" w:name="Xa8676b752087181558c8b2c3586705df7d042d6"/>
    <w:p>
      <w:pPr>
        <w:pStyle w:val="Heading2"/>
      </w:pPr>
      <w:r>
        <w:t xml:space="preserve">2. What Wall Street Is Modeling</w:t>
      </w:r>
    </w:p>
    <w:p>
      <w:pPr>
        <w:pStyle w:val="FirstParagraph"/>
      </w:pPr>
      <w:r>
        <w:t xml:space="preserve">Intel's own Q2 guidance, issued alongside Q1 results, called for:</w:t>
      </w:r>
    </w:p>
    <w:p>
      <w:pPr>
        <w:pStyle w:val="Compact"/>
        <w:numPr>
          <w:ilvl w:val="0"/>
          <w:numId w:val="1001"/>
        </w:numPr>
      </w:pPr>
      <w:r>
        <w:rPr>
          <w:b/>
          <w:bCs/>
        </w:rPr>
        <w:t xml:space="preserve">Revenue:</w:t>
      </w:r>
      <w:r>
        <w:t xml:space="preserve"> </w:t>
      </w:r>
      <m:oMath>
        <m:r>
          <m:t>13.8</m:t>
        </m:r>
        <m:r>
          <m:t>B</m:t>
        </m:r>
        <m:r>
          <m:rPr>
            <m:sty m:val="p"/>
          </m:rPr>
          <m:t>–</m:t>
        </m:r>
      </m:oMath>
      <w:r>
        <w:t xml:space="preserve">14.8B (midpoint $14.3B)</w:t>
      </w:r>
    </w:p>
    <w:p>
      <w:pPr>
        <w:pStyle w:val="Compact"/>
        <w:numPr>
          <w:ilvl w:val="0"/>
          <w:numId w:val="1001"/>
        </w:numPr>
      </w:pPr>
      <w:r>
        <w:rPr>
          <w:b/>
          <w:bCs/>
        </w:rPr>
        <w:t xml:space="preserve">Non-GAAP gross margin:</w:t>
      </w:r>
      <w:r>
        <w:t xml:space="preserve"> </w:t>
      </w:r>
      <w:r>
        <w:t xml:space="preserve">~39% (GAAP 37.5%)</w:t>
      </w:r>
    </w:p>
    <w:p>
      <w:pPr>
        <w:pStyle w:val="Compact"/>
        <w:numPr>
          <w:ilvl w:val="0"/>
          <w:numId w:val="1001"/>
        </w:numPr>
      </w:pPr>
      <w:r>
        <w:rPr>
          <w:b/>
          <w:bCs/>
        </w:rPr>
        <w:t xml:space="preserve">Non-GAAP EPS:</w:t>
      </w:r>
      <w:r>
        <w:t xml:space="preserve"> </w:t>
      </w:r>
      <w:r>
        <w:t xml:space="preserve">$0.20 (GAAP $0.08)</w:t>
      </w:r>
    </w:p>
    <w:p>
      <w:pPr>
        <w:pStyle w:val="FirstParagraph"/>
      </w:pPr>
      <w:r>
        <w:t xml:space="preserve">Analyst consensus has crept slightly above the midpoint: analysts surveyed ahead of Intel Corporation's second-quarter 2026 earnings report are modeling consensus earnings per share of $0.21 and revenue of $14.42B. Some trackers show numbers as high as $0.22, which would represent a dramatic turnaround from the $0.10 per share loss recorded in the year-ago quarter, with revenue expected to reach $14.42 billion, marking an increase of nearly 12% compared to last year.</w:t>
      </w:r>
    </w:p>
    <w:p>
      <w:pPr>
        <w:pStyle w:val="BodyText"/>
      </w:pPr>
      <w:r>
        <w:t xml:space="preserve">Context matters here: Intel has now beaten guidance for six straight quarters, most recently blowing past expectations in Q1 2026, when the previous quarter delivered a strong performance, with Intel reporting $0.29 per share versus the $0.01 estimate on 7.4% revenue growth. That track record is a big reason the bar has been raised again — and why "in-line" numbers may not be good enough for a stock that has run this hard.</w:t>
      </w:r>
    </w:p>
    <w:bookmarkEnd w:id="10"/>
    <w:bookmarkStart w:id="11" w:name="X1826d52e833a5ed4085acb90c336f6cd68273c7"/>
    <w:p>
      <w:pPr>
        <w:pStyle w:val="Heading2"/>
      </w:pPr>
      <w:r>
        <w:t xml:space="preserve">3. What Drove Q1 2026 — The Base Case Investors Are Extrapolating From</w:t>
      </w:r>
    </w:p>
    <w:p>
      <w:pPr>
        <w:pStyle w:val="FirstParagraph"/>
      </w:pPr>
      <w:r>
        <w:t xml:space="preserve">Intel's first quarter was the catalyst for the current re-rating. Revenue of $13.6 billion came in $1.4 billion above the midpoint of guidance, and management framed it as validation of a structural shift toward CPU-centric AI infrastructure. As CEO Lip-Bu Tan put it on the Q1 call, the company saw a "sixth consecutive quarter of revenue above our expectations," with AI-driven businesses now representing 60% of revenue and growing 40% year-over-year. Key Q1 highlights that set up this quarter:</w:t>
      </w:r>
    </w:p>
    <w:p>
      <w:pPr>
        <w:pStyle w:val="Compact"/>
        <w:numPr>
          <w:ilvl w:val="0"/>
          <w:numId w:val="1002"/>
        </w:numPr>
      </w:pPr>
      <w:r>
        <w:rPr>
          <w:b/>
          <w:bCs/>
        </w:rPr>
        <w:t xml:space="preserve">Data Center and AI (DCAI):</w:t>
      </w:r>
      <w:r>
        <w:t xml:space="preserve"> </w:t>
      </w:r>
      <w:r>
        <w:t xml:space="preserve">revenue of $5.1 billion, up 22% YoY, with ASIC revenue nearly doubling YoY</w:t>
      </w:r>
    </w:p>
    <w:p>
      <w:pPr>
        <w:pStyle w:val="Compact"/>
        <w:numPr>
          <w:ilvl w:val="0"/>
          <w:numId w:val="1002"/>
        </w:numPr>
      </w:pPr>
      <w:r>
        <w:rPr>
          <w:b/>
          <w:bCs/>
        </w:rPr>
        <w:t xml:space="preserve">Client Computing Group (CCG):</w:t>
      </w:r>
      <w:r>
        <w:t xml:space="preserve"> </w:t>
      </w:r>
      <w:r>
        <w:t xml:space="preserve">$7.7 billion, with AI PC revenue growing 8% sequentially to &gt;60% of client CPU mix</w:t>
      </w:r>
    </w:p>
    <w:p>
      <w:pPr>
        <w:pStyle w:val="Compact"/>
        <w:numPr>
          <w:ilvl w:val="0"/>
          <w:numId w:val="1002"/>
        </w:numPr>
      </w:pPr>
      <w:r>
        <w:rPr>
          <w:b/>
          <w:bCs/>
        </w:rPr>
        <w:t xml:space="preserve">Intel Foundry:</w:t>
      </w:r>
      <w:r>
        <w:t xml:space="preserve"> </w:t>
      </w:r>
      <w:r>
        <w:t xml:space="preserve">$5.4 billion revenue (+20% sequentially), though still posting a $2.4 billion operating loss as 18A ramps</w:t>
      </w:r>
    </w:p>
    <w:p>
      <w:pPr>
        <w:pStyle w:val="Compact"/>
        <w:numPr>
          <w:ilvl w:val="0"/>
          <w:numId w:val="1002"/>
        </w:numPr>
      </w:pPr>
      <w:r>
        <w:t xml:space="preserve">Management guided to Q2 sequential growth in both CCG and DCAI, "with DCAI up double digits," alongside a modest step-down in gross margin (39% vs 41% non-GAAP in Q1) due to a heavier mix shift into early-ramp Panther Lake/18A volumes and rising memory/substrate costs.</w:t>
      </w:r>
    </w:p>
    <w:p>
      <w:pPr>
        <w:pStyle w:val="FirstParagraph"/>
      </w:pPr>
      <w:r>
        <w:t xml:space="preserve">CFO Dave Zinsner was notably candid on the call about supply constraints, saying Intel is "meaningfully" undershipping demand — quantified only as "starts with a B" (billions) — which is a key reason bulls believe there's room for upside surprises as factory output increases through the year.</w:t>
      </w:r>
    </w:p>
    <w:bookmarkEnd w:id="11"/>
    <w:bookmarkStart w:id="12" w:name="X2467314028d0de32101a286abea37b7153eb73c"/>
    <w:p>
      <w:pPr>
        <w:pStyle w:val="Heading2"/>
      </w:pPr>
      <w:r>
        <w:t xml:space="preserve">4. The Big Swing Factors for This Print</w:t>
      </w:r>
    </w:p>
    <w:p>
      <w:pPr>
        <w:pStyle w:val="FirstParagraph"/>
      </w:pPr>
      <w:r>
        <w:rPr>
          <w:b/>
          <w:bCs/>
        </w:rPr>
        <w:t xml:space="preserve">1. 18A yield trajectory and gross margin math.</w:t>
      </w:r>
      <w:r>
        <w:t xml:space="preserve"> </w:t>
      </w:r>
      <w:r>
        <w:t xml:space="preserve">This is arguably the single most important technical variable. Recent reports indicated that 18A yields had improved to approximately 85%, compared with around 65% in the previous quarter — a dramatic jump that, if confirmed, would materially de-risk the cost structure behind Panther Lake and future 18A-based products. However, this is being weighed against skepticism that Intel's 18A process might not reach profitable yields until late 2026 or 2027. Management commentary on where actual yields stand — and when Foundry losses inflect — will be scrutinized line by line.</w:t>
      </w:r>
    </w:p>
    <w:p>
      <w:pPr>
        <w:pStyle w:val="BodyText"/>
      </w:pPr>
      <w:r>
        <w:rPr>
          <w:b/>
          <w:bCs/>
        </w:rPr>
        <w:t xml:space="preserve">2. Foundry customer momentum and the Apple/Microsoft storyline.</w:t>
      </w:r>
      <w:r>
        <w:t xml:space="preserve"> </w:t>
      </w:r>
      <w:r>
        <w:t xml:space="preserve">The foundry narrative has become a major swing factor for the stock. Apple and Intel reportedly reached a preliminary agreement for Intel to manufacture some Apple silicon, and separately Apple and Microsoft officially joined Intel Foundry's 18A process as early design partners. This built on a wave of July news, including Intel's first announced corporate customer for foundry services under CEO Lip-Bu Tan, who took over in March 2025, with the cybersecurity firm Fortinet set to produce its next-generation security chip on Intel infrastructure. Still, Intel itself has cautioned it needs a bigger anchor: Intel said in an April filing it is still seeking a "significant" customer for its most advanced manufacturing technology to justify large capital expenditures for factories in the U.S. and overseas, and Intel's largest confirmed foundry customer remains itself, with the U.S. government also using the foundry for defense chips. Watch for concrete disclosure (or lack thereof) on Apple, Microsoft, and the broader external-foundry backlog.</w:t>
      </w:r>
    </w:p>
    <w:p>
      <w:pPr>
        <w:pStyle w:val="BodyText"/>
      </w:pPr>
      <w:r>
        <w:rPr>
          <w:b/>
          <w:bCs/>
        </w:rPr>
        <w:t xml:space="preserve">3. Server CPU / "agentic AI" demand durability.</w:t>
      </w:r>
      <w:r>
        <w:t xml:space="preserve"> </w:t>
      </w:r>
      <w:r>
        <w:t xml:space="preserve">Management's Q1 thesis — that the CPU is reasserting itself as the "orchestration layer" for agentic AI workloads, shifting the CPU:GPU deployment ratio back toward CPUs — is the crux of the bull case and the reason data-center capex conversations have shifted. Investors will want confirmation that Xeon 6/Granite Rapids momentum (and early Diamond Rapids/Coral Rapids commentary) is sustaining, especially against AMD, whose data-center revenue reportedly overtook Intel's in Q1 for the first time.</w:t>
      </w:r>
    </w:p>
    <w:p>
      <w:pPr>
        <w:pStyle w:val="BodyText"/>
      </w:pPr>
      <w:r>
        <w:rPr>
          <w:b/>
          <w:bCs/>
        </w:rPr>
        <w:t xml:space="preserve">4. PC/CCG trajectory into a softer 2H.</w:t>
      </w:r>
      <w:r>
        <w:t xml:space="preserve"> </w:t>
      </w:r>
      <w:r>
        <w:t xml:space="preserve">Intel guided to full-year PC unit TAM down low-double-digits, with management modeling CCG revenue roughly flat sequentially from Q2 onward. Confirmation (or deterioration) of that PC outlook, and continued AI PC mix shift (Panther Lake/Core Ultra Series 3), will matter for margin trajectory given AI PC silicon still carries below-corporate-average margins early in the ramp.</w:t>
      </w:r>
    </w:p>
    <w:p>
      <w:pPr>
        <w:pStyle w:val="BodyText"/>
      </w:pPr>
      <w:r>
        <w:rPr>
          <w:b/>
          <w:bCs/>
        </w:rPr>
        <w:t xml:space="preserve">5. Cost inflation — memory, substrates, "T-glass."</w:t>
      </w:r>
      <w:r>
        <w:t xml:space="preserve"> </w:t>
      </w:r>
      <w:r>
        <w:t xml:space="preserve">Zinsner flagged rising input costs (memory, substrates) as a 2H headwind partially offsetting yield and mix improvements. Gross margin cadence into Q3/Q4 guidance will be a key data point.</w:t>
      </w:r>
    </w:p>
    <w:p>
      <w:pPr>
        <w:pStyle w:val="BodyText"/>
      </w:pPr>
      <w:r>
        <w:rPr>
          <w:b/>
          <w:bCs/>
        </w:rPr>
        <w:t xml:space="preserve">6. Capital allocation, CapEx, and the government stake.</w:t>
      </w:r>
      <w:r>
        <w:t xml:space="preserve"> </w:t>
      </w:r>
      <w:r>
        <w:t xml:space="preserve">Intel guided full-year 2026 CapEx to be flat year-over-year (shifted from "flat-to-down"), with tool spend up ~25% YoY even as space spend falls. The U.S. government's ~10% equity stake (a headline supportive of the 2025–26 rally) and the recently closed buyout of the 49% Fab 34 (Ireland) minority interest add complexity to per-share metrics via non-controlling interest — management guided NCI to net to roughly $250 million per quarter through 2026.</w:t>
      </w:r>
    </w:p>
    <w:p>
      <w:pPr>
        <w:pStyle w:val="BodyText"/>
      </w:pPr>
      <w:r>
        <w:rPr>
          <w:b/>
          <w:bCs/>
        </w:rPr>
        <w:t xml:space="preserve">7. Restructuring / layoffs.</w:t>
      </w:r>
      <w:r>
        <w:t xml:space="preserve"> </w:t>
      </w:r>
      <w:r>
        <w:t xml:space="preserve">Just before this earnings report, Intel confirmed it is planning job cuts within its data center group as part of a broader strategy to become a more focused and efficient company, a move drawing scrutiny given that the division reported first-quarter 2026 revenue of US$5.05 billion, up 22% year over year. Investors will want clarity on whether this reflects cost discipline or a signal of margin/demand concerns within DCAI, and Intel has stated its product commitments and strategic roadmap remain unchanged despite the cuts.</w:t>
      </w:r>
    </w:p>
    <w:bookmarkEnd w:id="12"/>
    <w:bookmarkStart w:id="13" w:name="X2af30331ee6a21feab5b719bc23fa3101427c4c"/>
    <w:p>
      <w:pPr>
        <w:pStyle w:val="Heading2"/>
      </w:pPr>
      <w:r>
        <w:t xml:space="preserve">5. Balance Sheet / Cash Flow Watch Items</w:t>
      </w:r>
    </w:p>
    <w:p>
      <w:pPr>
        <w:pStyle w:val="Compact"/>
        <w:numPr>
          <w:ilvl w:val="0"/>
          <w:numId w:val="1003"/>
        </w:numPr>
      </w:pPr>
      <w:r>
        <w:t xml:space="preserve">Q1 adjusted free cash flow was</w:t>
      </w:r>
      <w:r>
        <w:t xml:space="preserve"> </w:t>
      </w:r>
      <w:r>
        <w:rPr>
          <w:b/>
          <w:bCs/>
        </w:rPr>
        <w:t xml:space="preserve">negative $2.0 billion</w:t>
      </w:r>
      <w:r>
        <w:t xml:space="preserve">, though management reiterated an expectation for</w:t>
      </w:r>
      <w:r>
        <w:t xml:space="preserve"> </w:t>
      </w:r>
      <w:r>
        <w:rPr>
          <w:b/>
          <w:bCs/>
        </w:rPr>
        <w:t xml:space="preserve">positive full-year adjusted free cash flow</w:t>
      </w:r>
      <w:r>
        <w:t xml:space="preserve"> </w:t>
      </w:r>
      <w:r>
        <w:t xml:space="preserve">(excluding the Fab 34 buyout).</w:t>
      </w:r>
    </w:p>
    <w:p>
      <w:pPr>
        <w:pStyle w:val="Compact"/>
        <w:numPr>
          <w:ilvl w:val="0"/>
          <w:numId w:val="1003"/>
        </w:numPr>
      </w:pPr>
      <w:r>
        <w:t xml:space="preserve">Intel funded the Fab 34 minority buyout with ~</w:t>
      </w:r>
      <m:oMath>
        <m:r>
          <m:t>7.7</m:t>
        </m:r>
        <m:r>
          <m:t>B</m:t>
        </m:r>
        <m:r>
          <m:t>c</m:t>
        </m:r>
        <m:r>
          <m:t>a</m:t>
        </m:r>
        <m:r>
          <m:t>s</m:t>
        </m:r>
        <m:r>
          <m:t>h</m:t>
        </m:r>
        <m:r>
          <m:t>a</m:t>
        </m:r>
        <m:r>
          <m:t>n</m:t>
        </m:r>
        <m:r>
          <m:t>d</m:t>
        </m:r>
        <m:r>
          <m:t> </m:t>
        </m:r>
      </m:oMath>
      <w:r>
        <w:t xml:space="preserve">6.5B new debt, and remains committed to retiring $2.5B of 2026 debt maturities and $3.8B due in 2027.</w:t>
      </w:r>
    </w:p>
    <w:p>
      <w:pPr>
        <w:pStyle w:val="Compact"/>
        <w:numPr>
          <w:ilvl w:val="0"/>
          <w:numId w:val="1003"/>
        </w:numPr>
      </w:pPr>
      <w:r>
        <w:t xml:space="preserve">Cash and short-term investments stood at roughly $32.8 billion as of quarter-end Q1 2026 (cash $17.2B + short-term investments</w:t>
      </w:r>
      <w:r>
        <w:t xml:space="preserve"> </w:t>
      </w:r>
      <m:oMath>
        <m:r>
          <m:t>15.5</m:t>
        </m:r>
        <m:r>
          <m:t>B</m:t>
        </m:r>
        <m:r>
          <m:rPr>
            <m:sty m:val="p"/>
          </m:rPr>
          <m:t>)</m:t>
        </m:r>
        <m:r>
          <m:rPr>
            <m:sty m:val="p"/>
          </m:rPr>
          <m:t>,</m:t>
        </m:r>
        <m:r>
          <m:t>p</m:t>
        </m:r>
        <m:r>
          <m:t>r</m:t>
        </m:r>
        <m:r>
          <m:t>o</m:t>
        </m:r>
        <m:r>
          <m:t>v</m:t>
        </m:r>
        <m:r>
          <m:t>i</m:t>
        </m:r>
        <m:r>
          <m:t>d</m:t>
        </m:r>
        <m:r>
          <m:t>i</m:t>
        </m:r>
        <m:r>
          <m:t>n</m:t>
        </m:r>
        <m:r>
          <m:t>g</m:t>
        </m:r>
        <m:r>
          <m:t>f</m:t>
        </m:r>
        <m:r>
          <m:t>l</m:t>
        </m:r>
        <m:r>
          <m:t>e</m:t>
        </m:r>
        <m:r>
          <m:t>x</m:t>
        </m:r>
        <m:r>
          <m:t>i</m:t>
        </m:r>
        <m:r>
          <m:t>b</m:t>
        </m:r>
        <m:r>
          <m:t>i</m:t>
        </m:r>
        <m:r>
          <m:t>l</m:t>
        </m:r>
        <m:r>
          <m:t>i</m:t>
        </m:r>
        <m:r>
          <m:t>t</m:t>
        </m:r>
        <m:r>
          <m:t>y</m:t>
        </m:r>
        <m:r>
          <m:rPr>
            <m:sty m:val="p"/>
          </m:rPr>
          <m:t>,</m:t>
        </m:r>
        <m:r>
          <m:t>t</m:t>
        </m:r>
        <m:r>
          <m:t>h</m:t>
        </m:r>
        <m:r>
          <m:t>o</m:t>
        </m:r>
        <m:r>
          <m:t>u</m:t>
        </m:r>
        <m:r>
          <m:t>g</m:t>
        </m:r>
        <m:r>
          <m:t>h</m:t>
        </m:r>
        <m:r>
          <m:t>g</m:t>
        </m:r>
        <m:r>
          <m:t>r</m:t>
        </m:r>
        <m:r>
          <m:t>o</m:t>
        </m:r>
        <m:r>
          <m:t>s</m:t>
        </m:r>
        <m:r>
          <m:t>s</m:t>
        </m:r>
        <m:r>
          <m:t>d</m:t>
        </m:r>
        <m:r>
          <m:t>e</m:t>
        </m:r>
        <m:r>
          <m:t>b</m:t>
        </m:r>
        <m:r>
          <m:t>t</m:t>
        </m:r>
        <m:r>
          <m:t>r</m:t>
        </m:r>
        <m:r>
          <m:t>e</m:t>
        </m:r>
        <m:r>
          <m:t>m</m:t>
        </m:r>
        <m:r>
          <m:t>a</m:t>
        </m:r>
        <m:r>
          <m:t>i</m:t>
        </m:r>
        <m:r>
          <m:t>n</m:t>
        </m:r>
        <m:r>
          <m:t>s</m:t>
        </m:r>
        <m:r>
          <m:t>e</m:t>
        </m:r>
        <m:r>
          <m:t>l</m:t>
        </m:r>
        <m:r>
          <m:t>e</m:t>
        </m:r>
        <m:r>
          <m:t>v</m:t>
        </m:r>
        <m:r>
          <m:t>a</m:t>
        </m:r>
        <m:r>
          <m:t>t</m:t>
        </m:r>
        <m:r>
          <m:t>e</m:t>
        </m:r>
        <m:r>
          <m:t>d</m:t>
        </m:r>
        <m:r>
          <m:rPr>
            <m:sty m:val="p"/>
          </m:rPr>
          <m:t>(</m:t>
        </m:r>
        <m:r>
          <m:t> </m:t>
        </m:r>
      </m:oMath>
      <w:r>
        <w:t xml:space="preserve">45B).</w:t>
      </w:r>
    </w:p>
    <w:p>
      <w:pPr>
        <w:pStyle w:val="Compact"/>
        <w:numPr>
          <w:ilvl w:val="0"/>
          <w:numId w:val="1003"/>
        </w:numPr>
      </w:pPr>
      <w:r>
        <w:t xml:space="preserve">Watch for updated commentary on the €5 billion Ireland (Leixlip) expansion announced in July, additional external financing/government-incentive flows, and any update on capacity partnership talks (e.g., reported interest from SK Hynix in Intel's Ohio fab, which SK Hynix has denied acquiring outright but which Intel is reportedly still seeking an operating partner for).</w:t>
      </w:r>
    </w:p>
    <w:bookmarkEnd w:id="13"/>
    <w:bookmarkStart w:id="14" w:name="X7af8e44a5c6e1e6f735928a5c8d3202c055301a"/>
    <w:p>
      <w:pPr>
        <w:pStyle w:val="Heading2"/>
      </w:pPr>
      <w:r>
        <w:t xml:space="preserve">6. Key Numbers to Track on the Call</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Q1 2026 Actual</w:t>
            </w:r>
          </w:p>
        </w:tc>
        <w:tc>
          <w:tcPr/>
          <w:p>
            <w:pPr>
              <w:pStyle w:val="Compact"/>
            </w:pPr>
            <w:r>
              <w:t xml:space="preserve">Q2 2026 Guide</w:t>
            </w:r>
          </w:p>
        </w:tc>
        <w:tc>
          <w:tcPr/>
          <w:p>
            <w:pPr>
              <w:pStyle w:val="Compact"/>
            </w:pPr>
            <w:r>
              <w:t xml:space="preserve">Q2 2026 Street Consensus</w:t>
            </w:r>
          </w:p>
        </w:tc>
      </w:tr>
      <w:tr>
        <w:tc>
          <w:tcPr/>
          <w:p>
            <w:pPr>
              <w:pStyle w:val="Compact"/>
            </w:pPr>
            <w:r>
              <w:t xml:space="preserve">Revenue</w:t>
            </w:r>
          </w:p>
        </w:tc>
        <w:tc>
          <w:tcPr/>
          <w:p>
            <w:pPr>
              <w:pStyle w:val="Compact"/>
            </w:pPr>
            <w:r>
              <w:t xml:space="preserve">$13.6B</w:t>
            </w:r>
          </w:p>
        </w:tc>
        <w:tc>
          <w:tcPr/>
          <w:p>
            <w:pPr>
              <w:pStyle w:val="Compact"/>
            </w:pPr>
            <m:oMath>
              <m:r>
                <m:t>13.8</m:t>
              </m:r>
              <m:r>
                <m:t>B</m:t>
              </m:r>
              <m:r>
                <m:rPr>
                  <m:sty m:val="p"/>
                </m:rPr>
                <m:t>–</m:t>
              </m:r>
            </m:oMath>
            <w:r>
              <w:t xml:space="preserve">14.8B</w:t>
            </w:r>
          </w:p>
        </w:tc>
        <w:tc>
          <w:tcPr/>
          <w:p>
            <w:pPr>
              <w:pStyle w:val="Compact"/>
            </w:pPr>
            <w:r>
              <w:t xml:space="preserve">~$14.4B</w:t>
            </w:r>
          </w:p>
        </w:tc>
      </w:tr>
      <w:tr>
        <w:tc>
          <w:tcPr/>
          <w:p>
            <w:pPr>
              <w:pStyle w:val="Compact"/>
            </w:pPr>
            <w:r>
              <w:t xml:space="preserve">Non-GAAP gross margin</w:t>
            </w:r>
          </w:p>
        </w:tc>
        <w:tc>
          <w:tcPr/>
          <w:p>
            <w:pPr>
              <w:pStyle w:val="Compact"/>
            </w:pPr>
            <w:r>
              <w:t xml:space="preserve">41.0%</w:t>
            </w:r>
          </w:p>
        </w:tc>
        <w:tc>
          <w:tcPr/>
          <w:p>
            <w:pPr>
              <w:pStyle w:val="Compact"/>
            </w:pPr>
            <w:r>
              <w:t xml:space="preserve">~39.0%</w:t>
            </w:r>
          </w:p>
        </w:tc>
        <w:tc>
          <w:tcPr/>
          <w:p>
            <w:pPr>
              <w:pStyle w:val="Compact"/>
            </w:pPr>
            <w:r>
              <w:t xml:space="preserve">—</w:t>
            </w:r>
          </w:p>
        </w:tc>
      </w:tr>
      <w:tr>
        <w:tc>
          <w:tcPr/>
          <w:p>
            <w:pPr>
              <w:pStyle w:val="Compact"/>
            </w:pPr>
            <w:r>
              <w:t xml:space="preserve">Non-GAAP EPS</w:t>
            </w:r>
          </w:p>
        </w:tc>
        <w:tc>
          <w:tcPr/>
          <w:p>
            <w:pPr>
              <w:pStyle w:val="Compact"/>
            </w:pPr>
            <w:r>
              <w:t xml:space="preserve">$0.29</w:t>
            </w:r>
          </w:p>
        </w:tc>
        <w:tc>
          <w:tcPr/>
          <w:p>
            <w:pPr>
              <w:pStyle w:val="Compact"/>
            </w:pPr>
            <w:r>
              <w:t xml:space="preserve">$0.20</w:t>
            </w:r>
          </w:p>
        </w:tc>
        <w:tc>
          <w:tcPr/>
          <w:p>
            <w:pPr>
              <w:pStyle w:val="Compact"/>
            </w:pPr>
            <w:r>
              <w:t xml:space="preserve">~</w:t>
            </w:r>
            <m:oMath>
              <m:r>
                <m:t>0.21</m:t>
              </m:r>
              <m:r>
                <m:rPr>
                  <m:sty m:val="p"/>
                </m:rPr>
                <m:t>–</m:t>
              </m:r>
            </m:oMath>
            <w:r>
              <w:t xml:space="preserve">0.22</w:t>
            </w:r>
          </w:p>
        </w:tc>
      </w:tr>
      <w:tr>
        <w:tc>
          <w:tcPr/>
          <w:p>
            <w:pPr>
              <w:pStyle w:val="Compact"/>
            </w:pPr>
            <w:r>
              <w:t xml:space="preserve">GAAP EPS</w:t>
            </w:r>
          </w:p>
        </w:tc>
        <w:tc>
          <w:tcPr/>
          <w:p>
            <w:pPr>
              <w:pStyle w:val="Compact"/>
            </w:pPr>
            <w:r>
              <w:t xml:space="preserve">$(0.73)</w:t>
            </w:r>
          </w:p>
        </w:tc>
        <w:tc>
          <w:tcPr/>
          <w:p>
            <w:pPr>
              <w:pStyle w:val="Compact"/>
            </w:pPr>
            <w:r>
              <w:t xml:space="preserve">$0.08</w:t>
            </w:r>
          </w:p>
        </w:tc>
        <w:tc>
          <w:tcPr/>
          <w:p>
            <w:pPr>
              <w:pStyle w:val="Compact"/>
            </w:pPr>
            <w:r>
              <w:t xml:space="preserve">—</w:t>
            </w:r>
          </w:p>
        </w:tc>
      </w:tr>
    </w:tbl>
    <w:bookmarkEnd w:id="14"/>
    <w:bookmarkStart w:id="15" w:name="X58405cfeb236528800c384489c48fd77eb7236a"/>
    <w:p>
      <w:pPr>
        <w:pStyle w:val="Heading2"/>
      </w:pPr>
      <w:r>
        <w:t xml:space="preserve">7. Bottom Line for Investors</w:t>
      </w:r>
    </w:p>
    <w:p>
      <w:pPr>
        <w:pStyle w:val="FirstParagraph"/>
      </w:pPr>
      <w:r>
        <w:t xml:space="preserve">Intel goes into this print as a fundamentally different stock than a year ago — no longer a "survival story" but a name priced for a multi-year AI/foundry turnaround, with the market already extrapolating a lot of good news (Apple/Microsoft foundry engagement, improving 18A yields, CPU-centric AI demand, government backing). The setup is genuinely two-sided: Intel has beaten its own guidance for six straight quarters and demand commentary has been unambiguously strong, but the stock's valuation leaves little room for anything less than a clean beat-and-raise, and recent volatility (the 278% first-half surge followed by double-digit single-day drops) shows how quickly sentiment can swing. The most important lines to watch will be (1) actual 18A yield/margin progression and whether Foundry losses are narrowing on schedule, (2) any hard commitments from Apple, Microsoft, or other external foundry customers, (3) whether DCAI's growth and restructuring can coexist without raising questions about demand durability, and (4) full-year gross margin and free-cash-flow guidance in light of rising memory/substrate costs.</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2026-07-23T01:07:32Z</dcterms:created>
  <dcterms:modified xsi:type="dcterms:W3CDTF">2026-07-23T01:07:32Z</dcterms:modified>
</cp:coreProperties>
</file>

<file path=docProps/custom.xml><?xml version="1.0" encoding="utf-8"?>
<Properties xmlns="http://schemas.openxmlformats.org/officeDocument/2006/custom-properties" xmlns:vt="http://schemas.openxmlformats.org/officeDocument/2006/docPropsVTypes"/>
</file>