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intel-intc-q2-2026-earnings-preview"/>
    <w:p>
      <w:pPr>
        <w:pStyle w:val="Heading1"/>
      </w:pPr>
      <w:r>
        <w:t xml:space="preserve">Intel (INTC) Q2 2026 Earnings Preview</w:t>
      </w:r>
    </w:p>
    <w:p>
      <w:pPr>
        <w:pStyle w:val="BlockText"/>
      </w:pPr>
      <w:r>
        <w:rPr>
          <w:b/>
          <w:bCs/>
        </w:rPr>
        <w:t xml:space="preserve">Timing clarification:</w:t>
      </w:r>
      <w:r>
        <w:t xml:space="preserve"> </w:t>
      </w:r>
      <w:r>
        <w:t xml:space="preserve">Intel reports</w:t>
      </w:r>
      <w:r>
        <w:t xml:space="preserve"> </w:t>
      </w:r>
      <w:r>
        <w:rPr>
          <w:b/>
          <w:bCs/>
        </w:rPr>
        <w:t xml:space="preserve">today, Thursday, July 23, 2026</w:t>
      </w:r>
      <w:r>
        <w:t xml:space="preserve">, after the U.S. market closes—not tomorrow. The earnings call is scheduled for</w:t>
      </w:r>
      <w:r>
        <w:t xml:space="preserve"> </w:t>
      </w:r>
      <w:r>
        <w:rPr>
          <w:b/>
          <w:bCs/>
        </w:rPr>
        <w:t xml:space="preserve">2:00 p.m. PDT</w:t>
      </w:r>
      <w:r>
        <w:t xml:space="preserve">. (</w:t>
      </w:r>
      <w:hyperlink r:id="rId9">
        <w:r>
          <w:rPr>
            <w:rStyle w:val="Hyperlink"/>
          </w:rPr>
          <w:t xml:space="preserve">newsroom.intel.com</w:t>
        </w:r>
      </w:hyperlink>
      <w:r>
        <w:t xml:space="preserve">)</w:t>
      </w:r>
    </w:p>
    <w:bookmarkStart w:id="10" w:name="executive-view"/>
    <w:p>
      <w:pPr>
        <w:pStyle w:val="Heading2"/>
      </w:pPr>
      <w:r>
        <w:t xml:space="preserve">Executive view</w:t>
      </w:r>
    </w:p>
    <w:p>
      <w:pPr>
        <w:pStyle w:val="FirstParagraph"/>
      </w:pPr>
      <w:r>
        <w:t xml:space="preserve">Intel enters this report with substantially more optimism—and a much higher valuation—than it carried into Q1. The company’s April results materially exceeded expectations, data-center CPU demand has accelerated, manufacturing output is improving, and recent foundry developments have added credibility to the turnaround.</w:t>
      </w:r>
    </w:p>
    <w:p>
      <w:pPr>
        <w:pStyle w:val="BodyText"/>
      </w:pPr>
      <w:r>
        <w:t xml:space="preserve">That also raises the bar.</w:t>
      </w:r>
      <w:r>
        <w:t xml:space="preserve"> </w:t>
      </w:r>
      <w:r>
        <w:rPr>
          <w:b/>
          <w:bCs/>
        </w:rPr>
        <w:t xml:space="preserve">A small Q2 beat probably will not be enough by itself.</w:t>
      </w:r>
      <w:r>
        <w:t xml:space="preserve"> </w:t>
      </w:r>
      <w:r>
        <w:t xml:space="preserve">The more important issues are:</w:t>
      </w:r>
    </w:p>
    <w:p>
      <w:pPr>
        <w:pStyle w:val="Compact"/>
        <w:numPr>
          <w:ilvl w:val="0"/>
          <w:numId w:val="1001"/>
        </w:numPr>
      </w:pPr>
      <w:r>
        <w:t xml:space="preserve">Whether server CPU demand supports another upward revision to the second-half outlook.</w:t>
      </w:r>
    </w:p>
    <w:p>
      <w:pPr>
        <w:pStyle w:val="Compact"/>
        <w:numPr>
          <w:ilvl w:val="0"/>
          <w:numId w:val="1001"/>
        </w:numPr>
      </w:pPr>
      <w:r>
        <w:t xml:space="preserve">Whether Intel can expand supply without sacrificing gross margin.</w:t>
      </w:r>
    </w:p>
    <w:p>
      <w:pPr>
        <w:pStyle w:val="Compact"/>
        <w:numPr>
          <w:ilvl w:val="0"/>
          <w:numId w:val="1001"/>
        </w:numPr>
      </w:pPr>
      <w:r>
        <w:t xml:space="preserve">Whether Intel 18A yields are progressing fast enough to reduce the node’s margin drag.</w:t>
      </w:r>
    </w:p>
    <w:p>
      <w:pPr>
        <w:pStyle w:val="Compact"/>
        <w:numPr>
          <w:ilvl w:val="0"/>
          <w:numId w:val="1001"/>
        </w:numPr>
      </w:pPr>
      <w:r>
        <w:t xml:space="preserve">Whether foundry customer interest is turning into economically meaningful commitments.</w:t>
      </w:r>
    </w:p>
    <w:p>
      <w:pPr>
        <w:pStyle w:val="Compact"/>
        <w:numPr>
          <w:ilvl w:val="0"/>
          <w:numId w:val="1001"/>
        </w:numPr>
      </w:pPr>
      <w:r>
        <w:t xml:space="preserve">Whether higher capital spending still permits positive full-year adjusted free cash flow.</w:t>
      </w:r>
    </w:p>
    <w:bookmarkEnd w:id="10"/>
    <w:bookmarkStart w:id="12" w:name="expectations-at-a-glance"/>
    <w:p>
      <w:pPr>
        <w:pStyle w:val="Heading2"/>
      </w:pPr>
      <w:r>
        <w:t xml:space="preserve">Expectations at a glance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Intel Q2 guidance</w:t>
            </w:r>
          </w:p>
        </w:tc>
        <w:tc>
          <w:tcPr/>
          <w:p>
            <w:pPr>
              <w:pStyle w:val="Compact"/>
              <w:jc w:val="right"/>
            </w:pPr>
            <w:r>
              <w:t xml:space="preserve">Current consensus/expectation</w:t>
            </w:r>
          </w:p>
        </w:tc>
      </w:tr>
      <w:tr>
        <w:tc>
          <w:tcPr/>
          <w:p>
            <w:pPr>
              <w:pStyle w:val="Compact"/>
            </w:pPr>
            <w:r>
              <w:t xml:space="preserve">Revenue</w:t>
            </w:r>
          </w:p>
        </w:tc>
        <w:tc>
          <w:tcPr/>
          <w:p>
            <w:pPr>
              <w:pStyle w:val="Compact"/>
              <w:jc w:val="right"/>
            </w:pPr>
            <m:oMath>
              <m:r>
                <m:t>13.8</m:t>
              </m:r>
              <m:r>
                <m:t>B</m:t>
              </m:r>
              <m:r>
                <m:rPr>
                  <m:sty m:val="p"/>
                </m:rPr>
                <m:t>–</m:t>
              </m:r>
            </m:oMath>
            <w:r>
              <w:rPr>
                <w:b/>
                <w:bCs/>
              </w:rPr>
              <w:t xml:space="preserve">14.8B</w:t>
            </w:r>
          </w:p>
        </w:tc>
        <w:tc>
          <w:tcPr/>
          <w:p>
            <w:pPr>
              <w:pStyle w:val="Compact"/>
              <w:jc w:val="right"/>
            </w:pPr>
            <w:r>
              <w:t xml:space="preserve">Approximately</w:t>
            </w:r>
            <w:r>
              <w:t xml:space="preserve"> </w:t>
            </w:r>
            <w:r>
              <w:rPr>
                <w:b/>
                <w:bCs/>
              </w:rPr>
              <w:t xml:space="preserve">$14.4B</w:t>
            </w:r>
          </w:p>
        </w:tc>
      </w:tr>
      <w:tr>
        <w:tc>
          <w:tcPr/>
          <w:p>
            <w:pPr>
              <w:pStyle w:val="Compact"/>
            </w:pPr>
            <w:r>
              <w:t xml:space="preserve">Adjusted EPS</w:t>
            </w:r>
          </w:p>
        </w:tc>
        <w:tc>
          <w:tcPr/>
          <w:p>
            <w:pPr>
              <w:pStyle w:val="Compact"/>
              <w:jc w:val="right"/>
            </w:pPr>
            <w:r>
              <w:rPr>
                <w:b/>
                <w:bCs/>
              </w:rPr>
              <w:t xml:space="preserve">$0.20</w:t>
            </w:r>
            <w:r>
              <w:t xml:space="preserve"> </w:t>
            </w:r>
            <w:r>
              <w:t xml:space="preserve">at midpoint</w:t>
            </w:r>
          </w:p>
        </w:tc>
        <w:tc>
          <w:tcPr/>
          <w:p>
            <w:pPr>
              <w:pStyle w:val="Compact"/>
              <w:jc w:val="right"/>
            </w:pPr>
            <w:r>
              <w:t xml:space="preserve">Approximately</w:t>
            </w:r>
            <w:r>
              <w:t xml:space="preserve"> </w:t>
            </w:r>
            <m:oMath>
              <m:r>
                <m:t>0.21</m:t>
              </m:r>
              <m:r>
                <m:rPr>
                  <m:sty m:val="p"/>
                </m:rPr>
                <m:t>–</m:t>
              </m:r>
            </m:oMath>
            <w:r>
              <w:rPr>
                <w:b/>
                <w:bCs/>
              </w:rPr>
              <w:t xml:space="preserve">0.22</w:t>
            </w:r>
          </w:p>
        </w:tc>
      </w:tr>
      <w:tr>
        <w:tc>
          <w:tcPr/>
          <w:p>
            <w:pPr>
              <w:pStyle w:val="Compact"/>
            </w:pPr>
            <w:r>
              <w:t xml:space="preserve">Adjusted gross margin</w:t>
            </w:r>
          </w:p>
        </w:tc>
        <w:tc>
          <w:tcPr/>
          <w:p>
            <w:pPr>
              <w:pStyle w:val="Compact"/>
              <w:jc w:val="right"/>
            </w:pPr>
            <w:r>
              <w:rPr>
                <w:b/>
                <w:bCs/>
              </w:rPr>
              <w:t xml:space="preserve">39.0%</w:t>
            </w:r>
          </w:p>
        </w:tc>
        <w:tc>
          <w:tcPr/>
          <w:p>
            <w:pPr>
              <w:pStyle w:val="Compact"/>
              <w:jc w:val="right"/>
            </w:pPr>
            <w:r>
              <w:t xml:space="preserve">Near management’s 39% guide</w:t>
            </w:r>
          </w:p>
        </w:tc>
      </w:tr>
      <w:tr>
        <w:tc>
          <w:tcPr/>
          <w:p>
            <w:pPr>
              <w:pStyle w:val="Compact"/>
            </w:pPr>
            <w:r>
              <w:t xml:space="preserve">DCAI revenue</w:t>
            </w:r>
          </w:p>
        </w:tc>
        <w:tc>
          <w:tcPr/>
          <w:p>
            <w:pPr>
              <w:pStyle w:val="Compact"/>
              <w:jc w:val="right"/>
            </w:pPr>
            <w:r>
              <w:t xml:space="preserve">Sequential growth,</w:t>
            </w:r>
            <w:r>
              <w:t xml:space="preserve"> </w:t>
            </w:r>
            <w:r>
              <w:rPr>
                <w:b/>
                <w:bCs/>
              </w:rPr>
              <w:t xml:space="preserve">up double digits</w:t>
            </w:r>
          </w:p>
        </w:tc>
        <w:tc>
          <w:tcPr/>
          <w:p>
            <w:pPr>
              <w:pStyle w:val="Compact"/>
              <w:jc w:val="right"/>
            </w:pPr>
            <w:r>
              <w:t xml:space="preserve">Approximately</w:t>
            </w:r>
            <w:r>
              <w:t xml:space="preserve"> </w:t>
            </w:r>
            <w:r>
              <w:rPr>
                <w:b/>
                <w:bCs/>
              </w:rPr>
              <w:t xml:space="preserve">$5.6B</w:t>
            </w:r>
            <w:r>
              <w:t xml:space="preserve">, +42% YoY</w:t>
            </w:r>
          </w:p>
        </w:tc>
      </w:tr>
      <w:tr>
        <w:tc>
          <w:tcPr/>
          <w:p>
            <w:pPr>
              <w:pStyle w:val="Compact"/>
            </w:pPr>
            <w:r>
              <w:t xml:space="preserve">CCG revenue</w:t>
            </w:r>
          </w:p>
        </w:tc>
        <w:tc>
          <w:tcPr/>
          <w:p>
            <w:pPr>
              <w:pStyle w:val="Compact"/>
              <w:jc w:val="right"/>
            </w:pPr>
            <w:r>
              <w:t xml:space="preserve">Sequential growth</w:t>
            </w:r>
          </w:p>
        </w:tc>
        <w:tc>
          <w:tcPr/>
          <w:p>
            <w:pPr>
              <w:pStyle w:val="Compact"/>
              <w:jc w:val="right"/>
            </w:pPr>
            <w:r>
              <w:t xml:space="preserve">Approximately</w:t>
            </w:r>
            <w:r>
              <w:t xml:space="preserve"> </w:t>
            </w:r>
            <w:r>
              <w:rPr>
                <w:b/>
                <w:bCs/>
              </w:rPr>
              <w:t xml:space="preserve">$8.0B</w:t>
            </w:r>
            <w:r>
              <w:t xml:space="preserve">, +1.3% YoY</w:t>
            </w:r>
          </w:p>
        </w:tc>
      </w:tr>
      <w:tr>
        <w:tc>
          <w:tcPr/>
          <w:p>
            <w:pPr>
              <w:pStyle w:val="Compact"/>
            </w:pPr>
            <w:r>
              <w:t xml:space="preserve">Intel Foundry revenue</w:t>
            </w:r>
          </w:p>
        </w:tc>
        <w:tc>
          <w:tcPr/>
          <w:p>
            <w:pPr>
              <w:pStyle w:val="Compact"/>
              <w:jc w:val="right"/>
            </w:pPr>
            <w:r>
              <w:t xml:space="preserve">Not specifically guided</w:t>
            </w:r>
          </w:p>
        </w:tc>
        <w:tc>
          <w:tcPr/>
          <w:p>
            <w:pPr>
              <w:pStyle w:val="Compact"/>
              <w:jc w:val="right"/>
            </w:pPr>
            <w:r>
              <w:t xml:space="preserve">Approximately</w:t>
            </w:r>
            <w:r>
              <w:t xml:space="preserve"> </w:t>
            </w:r>
            <w:r>
              <w:rPr>
                <w:b/>
                <w:bCs/>
              </w:rPr>
              <w:t xml:space="preserve">$5.5B</w:t>
            </w:r>
            <w:r>
              <w:t xml:space="preserve">, +25% YoY</w:t>
            </w:r>
          </w:p>
        </w:tc>
      </w:tr>
    </w:tbl>
    <w:p>
      <w:pPr>
        <w:pStyle w:val="BodyText"/>
      </w:pPr>
      <w:r>
        <w:t xml:space="preserve">Intel’s official outlook calls for $13.8 billion to $14.8 billion of revenue, 39% adjusted gross margin and $0.20 of adjusted EPS. Visible Alpha expects approximately $14.4 billion of revenue, including $5.6 billion from Data Center and AI, $8.0 billion from Client Computing and $5.5 billion from Intel Foundry. Other published consensus figures place adjusted EPS around</w:t>
      </w:r>
      <w:r>
        <w:t xml:space="preserve"> </w:t>
      </w:r>
      <m:oMath>
        <m:r>
          <m:t>0.21</m:t>
        </m:r>
        <m:r>
          <m:rPr>
            <m:sty m:val="p"/>
          </m:rPr>
          <m:t>–</m:t>
        </m:r>
      </m:oMath>
      <w:r>
        <w:t xml:space="preserve">0.22. (</w:t>
      </w:r>
      <w:hyperlink r:id="rId11">
        <w:r>
          <w:rPr>
            <w:rStyle w:val="Hyperlink"/>
          </w:rPr>
          <w:t xml:space="preserve">intc.com</w:t>
        </w:r>
      </w:hyperlink>
      <w:r>
        <w:t xml:space="preserve">)</w:t>
      </w:r>
    </w:p>
    <w:p>
      <w:pPr>
        <w:pStyle w:val="BodyText"/>
      </w:pPr>
      <w:r>
        <w:t xml:space="preserve">Because consensus revenue is only modestly above Intel’s $14.3 billion guidance midpoint, the market appears to expect a beat—but not necessarily a repeat of Q1’s very large upside surprise.</w:t>
      </w:r>
    </w:p>
    <w:bookmarkEnd w:id="12"/>
    <w:bookmarkStart w:id="14" w:name="X736d64ffe255dd54609887d7337e674dc71e220"/>
    <w:p>
      <w:pPr>
        <w:pStyle w:val="Heading2"/>
      </w:pPr>
      <w:r>
        <w:t xml:space="preserve">1. Data-center CPUs are the central earnings driver</w:t>
      </w:r>
    </w:p>
    <w:p>
      <w:pPr>
        <w:pStyle w:val="FirstParagraph"/>
      </w:pPr>
      <w:r>
        <w:t xml:space="preserve">Intel’s Q1 Data Center and AI revenue was $5.1 billion, up 22% year over year. Management subsequently guided DCAI to grow by a double-digit percentage sequentially in Q2, implying revenue of at least roughly $5.6 billion. That is essentially where current segment consensus sits. (</w:t>
      </w:r>
      <w:hyperlink r:id="rId11">
        <w:r>
          <w:rPr>
            <w:rStyle w:val="Hyperlink"/>
          </w:rPr>
          <w:t xml:space="preserve">intc.com</w:t>
        </w:r>
      </w:hyperlink>
      <w:r>
        <w:t xml:space="preserve">)</w:t>
      </w:r>
    </w:p>
    <w:p>
      <w:pPr>
        <w:pStyle w:val="BodyText"/>
      </w:pPr>
      <w:r>
        <w:t xml:space="preserve">The bull case rests on the idea that AI infrastructure is becoming more CPU-intensive as workloads move from model training toward inference and agentic applications. Intel has argued that CPUs act as the orchestration and control layer around accelerators, while Xeon 6 has secured positions including the host CPU for Nvidia’s DGX Rubin NVL8 systems. The company also signed multiyear agreements intended to improve supply and pricing visibility.</w:t>
      </w:r>
    </w:p>
    <w:bookmarkStart w:id="13" w:name="what-investors-should-listen-for"/>
    <w:p>
      <w:pPr>
        <w:pStyle w:val="Heading3"/>
      </w:pPr>
      <w:r>
        <w:t xml:space="preserve">What investors should listen for</w:t>
      </w:r>
    </w:p>
    <w:p>
      <w:pPr>
        <w:pStyle w:val="Compact"/>
        <w:numPr>
          <w:ilvl w:val="0"/>
          <w:numId w:val="1002"/>
        </w:numPr>
      </w:pPr>
      <w:r>
        <w:t xml:space="preserve">Whether DCAI growth remains</w:t>
      </w:r>
      <w:r>
        <w:t xml:space="preserve"> </w:t>
      </w:r>
      <w:r>
        <w:rPr>
          <w:b/>
          <w:bCs/>
        </w:rPr>
        <w:t xml:space="preserve">supply-constrained rather than demand-constrained</w:t>
      </w:r>
      <w:r>
        <w:t xml:space="preserve">.</w:t>
      </w:r>
    </w:p>
    <w:p>
      <w:pPr>
        <w:pStyle w:val="Compact"/>
        <w:numPr>
          <w:ilvl w:val="0"/>
          <w:numId w:val="1002"/>
        </w:numPr>
      </w:pPr>
      <w:r>
        <w:t xml:space="preserve">Updated expectations for server CPU unit growth in the second half and 2027.</w:t>
      </w:r>
    </w:p>
    <w:p>
      <w:pPr>
        <w:pStyle w:val="Compact"/>
        <w:numPr>
          <w:ilvl w:val="0"/>
          <w:numId w:val="1002"/>
        </w:numPr>
      </w:pPr>
      <w:r>
        <w:t xml:space="preserve">The contribution from pricing versus unit shipments and higher core counts.</w:t>
      </w:r>
    </w:p>
    <w:p>
      <w:pPr>
        <w:pStyle w:val="Compact"/>
        <w:numPr>
          <w:ilvl w:val="0"/>
          <w:numId w:val="1002"/>
        </w:numPr>
      </w:pPr>
      <w:r>
        <w:t xml:space="preserve">Xeon 6 adoption and competitive positioning against AMD EPYC and custom Arm CPUs.</w:t>
      </w:r>
    </w:p>
    <w:p>
      <w:pPr>
        <w:pStyle w:val="Compact"/>
        <w:numPr>
          <w:ilvl w:val="0"/>
          <w:numId w:val="1002"/>
        </w:numPr>
      </w:pPr>
      <w:r>
        <w:t xml:space="preserve">Additional long-term customer agreements.</w:t>
      </w:r>
    </w:p>
    <w:p>
      <w:pPr>
        <w:pStyle w:val="Compact"/>
        <w:numPr>
          <w:ilvl w:val="0"/>
          <w:numId w:val="1002"/>
        </w:numPr>
      </w:pPr>
      <w:r>
        <w:t xml:space="preserve">Whether custom ASIC revenue—already described by management as running above $1 billion annually—continues to accelerate.</w:t>
      </w:r>
    </w:p>
    <w:p>
      <w:pPr>
        <w:pStyle w:val="FirstParagraph"/>
      </w:pPr>
      <w:r>
        <w:t xml:space="preserve">A DCAI result around $5.6 billion would satisfy the prior outlook. For the stock to respond strongly, investors may want</w:t>
      </w:r>
      <w:r>
        <w:t xml:space="preserve"> </w:t>
      </w:r>
      <w:r>
        <w:rPr>
          <w:b/>
          <w:bCs/>
        </w:rPr>
        <w:t xml:space="preserve">material upside to that level or a clear indication that momentum is carrying into Q3 and 2027</w:t>
      </w:r>
      <w:r>
        <w:t xml:space="preserve">.</w:t>
      </w:r>
    </w:p>
    <w:bookmarkEnd w:id="13"/>
    <w:bookmarkEnd w:id="14"/>
    <w:bookmarkStart w:id="17" w:name="X57e634efd8d6555b85105ba538d9d1181830638"/>
    <w:p>
      <w:pPr>
        <w:pStyle w:val="Heading2"/>
      </w:pPr>
      <w:r>
        <w:t xml:space="preserve">2. Gross margin may matter more than the revenue beat</w:t>
      </w:r>
    </w:p>
    <w:p>
      <w:pPr>
        <w:pStyle w:val="FirstParagraph"/>
      </w:pPr>
      <w:r>
        <w:t xml:space="preserve">Intel generated a 41% adjusted gross margin in Q1 but guided Q2 to 39%. Management attributed the expected decline to two factors:</w:t>
      </w:r>
    </w:p>
    <w:p>
      <w:pPr>
        <w:pStyle w:val="Compact"/>
        <w:numPr>
          <w:ilvl w:val="0"/>
          <w:numId w:val="1003"/>
        </w:numPr>
      </w:pPr>
      <w:r>
        <w:t xml:space="preserve">A much larger contribution from Intel 18A products, whose early-ramp economics remain below the corporate average.</w:t>
      </w:r>
    </w:p>
    <w:p>
      <w:pPr>
        <w:pStyle w:val="Compact"/>
        <w:numPr>
          <w:ilvl w:val="0"/>
          <w:numId w:val="1003"/>
        </w:numPr>
      </w:pPr>
      <w:r>
        <w:t xml:space="preserve">Q1 inventory benefits that were not expected to repeat.</w:t>
      </w:r>
    </w:p>
    <w:p>
      <w:pPr>
        <w:pStyle w:val="FirstParagraph"/>
      </w:pPr>
      <w:r>
        <w:t xml:space="preserve">Management said Panther Lake volume could rise six- to sevenfold sequentially in Q2. Although 18A yields were reportedly improving faster than Intel’s internal plan, the increased volume mix still creates a near-term margin headwind. Rising memory, substrate and other input costs add another risk for the second half. (</w:t>
      </w:r>
      <w:hyperlink r:id="rId15">
        <w:r>
          <w:rPr>
            <w:rStyle w:val="Hyperlink"/>
          </w:rPr>
          <w:t xml:space="preserve">download.intel.com</w:t>
        </w:r>
      </w:hyperlink>
      <w:r>
        <w:t xml:space="preserve">)</w:t>
      </w:r>
    </w:p>
    <w:bookmarkStart w:id="16" w:name="interpretation-framework"/>
    <w:p>
      <w:pPr>
        <w:pStyle w:val="Heading3"/>
      </w:pPr>
      <w:r>
        <w:t xml:space="preserve">Interpretation framework</w:t>
      </w:r>
    </w:p>
    <w:p>
      <w:pPr>
        <w:pStyle w:val="Compact"/>
        <w:numPr>
          <w:ilvl w:val="0"/>
          <w:numId w:val="1004"/>
        </w:numPr>
      </w:pPr>
      <w:r>
        <w:rPr>
          <w:b/>
          <w:bCs/>
        </w:rPr>
        <w:t xml:space="preserve">40% or better:</w:t>
      </w:r>
      <w:r>
        <w:t xml:space="preserve"> </w:t>
      </w:r>
      <w:r>
        <w:t xml:space="preserve">Strong result, suggesting pricing, product mix and yield gains are offsetting the 18A ramp.</w:t>
      </w:r>
    </w:p>
    <w:p>
      <w:pPr>
        <w:pStyle w:val="Compact"/>
        <w:numPr>
          <w:ilvl w:val="0"/>
          <w:numId w:val="1004"/>
        </w:numPr>
      </w:pPr>
      <w:r>
        <w:rPr>
          <w:b/>
          <w:bCs/>
        </w:rPr>
        <w:t xml:space="preserve">Approximately 39%:</w:t>
      </w:r>
      <w:r>
        <w:t xml:space="preserve"> </w:t>
      </w:r>
      <w:r>
        <w:t xml:space="preserve">Acceptable, assuming Q3 guidance shows improvement or a clear path toward improvement.</w:t>
      </w:r>
    </w:p>
    <w:p>
      <w:pPr>
        <w:pStyle w:val="Compact"/>
        <w:numPr>
          <w:ilvl w:val="0"/>
          <w:numId w:val="1004"/>
        </w:numPr>
      </w:pPr>
      <w:r>
        <w:rPr>
          <w:b/>
          <w:bCs/>
        </w:rPr>
        <w:t xml:space="preserve">Below 39%:</w:t>
      </w:r>
      <w:r>
        <w:t xml:space="preserve"> </w:t>
      </w:r>
      <w:r>
        <w:t xml:space="preserve">Concerning, particularly if management attributes the miss to 18A costs rather than temporary mix.</w:t>
      </w:r>
    </w:p>
    <w:p>
      <w:pPr>
        <w:pStyle w:val="FirstParagraph"/>
      </w:pPr>
      <w:r>
        <w:t xml:space="preserve">The most important manufacturing disclosure may be the expected date at which Panther Lake and Intel 18A cease being a material drag on consolidated gross margin.</w:t>
      </w:r>
    </w:p>
    <w:bookmarkEnd w:id="16"/>
    <w:bookmarkEnd w:id="17"/>
    <w:bookmarkStart w:id="19" w:name="Xe38966f76ad068e5a960a139d5018c355b38269"/>
    <w:p>
      <w:pPr>
        <w:pStyle w:val="Heading2"/>
      </w:pPr>
      <w:r>
        <w:t xml:space="preserve">3. Client computing is the main cyclical risk</w:t>
      </w:r>
    </w:p>
    <w:p>
      <w:pPr>
        <w:pStyle w:val="FirstParagraph"/>
      </w:pPr>
      <w:r>
        <w:t xml:space="preserve">Consensus calls for CCG revenue of approximately $8.0 billion, up only 1.3% year over year. That contrasts sharply with the projected 42% growth in DCAI. (</w:t>
      </w:r>
      <w:hyperlink r:id="rId18">
        <w:r>
          <w:rPr>
            <w:rStyle w:val="Hyperlink"/>
          </w:rPr>
          <w:t xml:space="preserve">spglobal.com</w:t>
        </w:r>
      </w:hyperlink>
      <w:r>
        <w:t xml:space="preserve">)</w:t>
      </w:r>
    </w:p>
    <w:p>
      <w:pPr>
        <w:pStyle w:val="BodyText"/>
      </w:pPr>
      <w:r>
        <w:t xml:space="preserve">Intel previously said it was prudently planning for the full-year PC unit market to decline by a low-double-digit percentage. Management nevertheless expected Intel’s revenue to perform better than end-market units because of customer inventory replenishment and pricing. It also suggested that quarterly client revenue could remain roughly flat from Q2 through year-end. (</w:t>
      </w:r>
      <w:hyperlink r:id="rId15">
        <w:r>
          <w:rPr>
            <w:rStyle w:val="Hyperlink"/>
          </w:rPr>
          <w:t xml:space="preserve">download.intel.com</w:t>
        </w:r>
      </w:hyperlink>
      <w:r>
        <w:t xml:space="preserve">)</w:t>
      </w:r>
    </w:p>
    <w:p>
      <w:pPr>
        <w:pStyle w:val="BodyText"/>
      </w:pPr>
      <w:r>
        <w:t xml:space="preserve">The key question is whether server strength can continue to outweigh:</w:t>
      </w:r>
    </w:p>
    <w:p>
      <w:pPr>
        <w:pStyle w:val="Compact"/>
        <w:numPr>
          <w:ilvl w:val="0"/>
          <w:numId w:val="1005"/>
        </w:numPr>
      </w:pPr>
      <w:r>
        <w:t xml:space="preserve">A weaker second-half PC market.</w:t>
      </w:r>
    </w:p>
    <w:p>
      <w:pPr>
        <w:pStyle w:val="Compact"/>
        <w:numPr>
          <w:ilvl w:val="0"/>
          <w:numId w:val="1005"/>
        </w:numPr>
      </w:pPr>
      <w:r>
        <w:t xml:space="preserve">Higher memory and component prices.</w:t>
      </w:r>
    </w:p>
    <w:p>
      <w:pPr>
        <w:pStyle w:val="Compact"/>
        <w:numPr>
          <w:ilvl w:val="0"/>
          <w:numId w:val="1005"/>
        </w:numPr>
      </w:pPr>
      <w:r>
        <w:t xml:space="preserve">Potential resistance to Intel’s pricing actions.</w:t>
      </w:r>
    </w:p>
    <w:p>
      <w:pPr>
        <w:pStyle w:val="Compact"/>
        <w:numPr>
          <w:ilvl w:val="0"/>
          <w:numId w:val="1005"/>
        </w:numPr>
      </w:pPr>
      <w:r>
        <w:t xml:space="preserve">Competitive pressure across premium notebooks, desktops and AI PCs.</w:t>
      </w:r>
    </w:p>
    <w:p>
      <w:pPr>
        <w:pStyle w:val="FirstParagraph"/>
      </w:pPr>
      <w:r>
        <w:t xml:space="preserve">A solid CCG quarter would help, but investors are unlikely to reward Intel heavily for client upside if it comes from short-term inventory replenishment rather than sustainable sell-through.</w:t>
      </w:r>
    </w:p>
    <w:bookmarkEnd w:id="19"/>
    <w:bookmarkStart w:id="21" w:name="X09d2068cc23b4c6b466241feba6ef8485c95ded"/>
    <w:p>
      <w:pPr>
        <w:pStyle w:val="Heading2"/>
      </w:pPr>
      <w:r>
        <w:t xml:space="preserve">4. Foundry: progress is real, but economics remain the test</w:t>
      </w:r>
    </w:p>
    <w:p>
      <w:pPr>
        <w:pStyle w:val="FirstParagraph"/>
      </w:pPr>
      <w:r>
        <w:t xml:space="preserve">Intel Foundry reported $5.4 billion of Q1 revenue, but most of that was generated internally, while the segment posted a roughly $2.4 billion operating loss. Therefore, headline foundry revenue is less informative than:</w:t>
      </w:r>
    </w:p>
    <w:p>
      <w:pPr>
        <w:pStyle w:val="Compact"/>
        <w:numPr>
          <w:ilvl w:val="0"/>
          <w:numId w:val="1006"/>
        </w:numPr>
      </w:pPr>
      <w:r>
        <w:t xml:space="preserve">External foundry revenue.</w:t>
      </w:r>
    </w:p>
    <w:p>
      <w:pPr>
        <w:pStyle w:val="Compact"/>
        <w:numPr>
          <w:ilvl w:val="0"/>
          <w:numId w:val="1006"/>
        </w:numPr>
      </w:pPr>
      <w:r>
        <w:t xml:space="preserve">Yield and cycle-time improvements.</w:t>
      </w:r>
    </w:p>
    <w:p>
      <w:pPr>
        <w:pStyle w:val="Compact"/>
        <w:numPr>
          <w:ilvl w:val="0"/>
          <w:numId w:val="1006"/>
        </w:numPr>
      </w:pPr>
      <w:r>
        <w:t xml:space="preserve">Foundry operating losses.</w:t>
      </w:r>
    </w:p>
    <w:p>
      <w:pPr>
        <w:pStyle w:val="Compact"/>
        <w:numPr>
          <w:ilvl w:val="0"/>
          <w:numId w:val="1006"/>
        </w:numPr>
      </w:pPr>
      <w:r>
        <w:t xml:space="preserve">Advanced-packaging backlog.</w:t>
      </w:r>
    </w:p>
    <w:p>
      <w:pPr>
        <w:pStyle w:val="Compact"/>
        <w:numPr>
          <w:ilvl w:val="0"/>
          <w:numId w:val="1006"/>
        </w:numPr>
      </w:pPr>
      <w:r>
        <w:t xml:space="preserve">Binding external commitments for Intel 18A and 14A.</w:t>
      </w:r>
    </w:p>
    <w:p>
      <w:pPr>
        <w:pStyle w:val="FirstParagraph"/>
      </w:pPr>
      <w:r>
        <w:t xml:space="preserve">Intel recently announced that Fortinet’s next-generation SP6 security processor will use Intel design, packaging and manufacturing capabilities. SP6 is expected to be built on Intel 4, making Fortinet the first named external customer for that node. The agreement is a useful commercial proof point, but no production timing was disclosed and it does not, by itself, settle the larger question of leading-edge 18A and 14A demand. (</w:t>
      </w:r>
      <w:hyperlink r:id="rId20">
        <w:r>
          <w:rPr>
            <w:rStyle w:val="Hyperlink"/>
          </w:rPr>
          <w:t xml:space="preserve">tomshardware.com</w:t>
        </w:r>
      </w:hyperlink>
      <w:r>
        <w:t xml:space="preserve">)</w:t>
      </w:r>
    </w:p>
    <w:p>
      <w:pPr>
        <w:pStyle w:val="BodyText"/>
      </w:pPr>
      <w:r>
        <w:t xml:space="preserve">Investors should distinguish among three levels of foundry news:</w:t>
      </w:r>
    </w:p>
    <w:p>
      <w:pPr>
        <w:pStyle w:val="Compact"/>
        <w:numPr>
          <w:ilvl w:val="0"/>
          <w:numId w:val="1007"/>
        </w:numPr>
      </w:pPr>
      <w:r>
        <w:rPr>
          <w:b/>
          <w:bCs/>
        </w:rPr>
        <w:t xml:space="preserve">Customer evaluation or engagement</w:t>
      </w:r>
      <w:r>
        <w:t xml:space="preserve"> </w:t>
      </w:r>
      <w:r>
        <w:t xml:space="preserve">— encouraging but financially speculative.</w:t>
      </w:r>
    </w:p>
    <w:p>
      <w:pPr>
        <w:pStyle w:val="Compact"/>
        <w:numPr>
          <w:ilvl w:val="0"/>
          <w:numId w:val="1007"/>
        </w:numPr>
      </w:pPr>
      <w:r>
        <w:rPr>
          <w:b/>
          <w:bCs/>
        </w:rPr>
        <w:t xml:space="preserve">Design win or production commitment</w:t>
      </w:r>
      <w:r>
        <w:t xml:space="preserve"> </w:t>
      </w:r>
      <w:r>
        <w:t xml:space="preserve">— strategically meaningful.</w:t>
      </w:r>
    </w:p>
    <w:p>
      <w:pPr>
        <w:pStyle w:val="Compact"/>
        <w:numPr>
          <w:ilvl w:val="0"/>
          <w:numId w:val="1007"/>
        </w:numPr>
      </w:pPr>
      <w:r>
        <w:rPr>
          <w:b/>
          <w:bCs/>
        </w:rPr>
        <w:t xml:space="preserve">Committed volume, pricing and revenue timing</w:t>
      </w:r>
      <w:r>
        <w:t xml:space="preserve"> </w:t>
      </w:r>
      <w:r>
        <w:t xml:space="preserve">— financially modelable.</w:t>
      </w:r>
    </w:p>
    <w:p>
      <w:pPr>
        <w:pStyle w:val="FirstParagraph"/>
      </w:pPr>
      <w:r>
        <w:t xml:space="preserve">The highest-value disclosure would be a significant external customer commitment for 18A or 14A, accompanied by enough information to evaluate volume, capital requirements and eventual returns.</w:t>
      </w:r>
    </w:p>
    <w:bookmarkEnd w:id="21"/>
    <w:bookmarkStart w:id="23" w:name="X6f2235663f2afc11dc2d0b28f3723035356bd8b"/>
    <w:p>
      <w:pPr>
        <w:pStyle w:val="Heading2"/>
      </w:pPr>
      <w:r>
        <w:t xml:space="preserve">5. Supply expansion versus capital discipline</w:t>
      </w:r>
    </w:p>
    <w:p>
      <w:pPr>
        <w:pStyle w:val="FirstParagraph"/>
      </w:pPr>
      <w:r>
        <w:t xml:space="preserve">Intel’s Q1 performance showed that demand was exceeding available supply. The company expected output to continue increasing through the year through additional wafer starts, higher yields, better cycle times and selective use of external foundries. It also raised its full-year capital-spending expectation from “flat to down” to approximately flat year over year. (</w:t>
      </w:r>
      <w:hyperlink r:id="rId15">
        <w:r>
          <w:rPr>
            <w:rStyle w:val="Hyperlink"/>
          </w:rPr>
          <w:t xml:space="preserve">download.intel.com</w:t>
        </w:r>
      </w:hyperlink>
      <w:r>
        <w:t xml:space="preserve">)</w:t>
      </w:r>
    </w:p>
    <w:p>
      <w:pPr>
        <w:pStyle w:val="BodyText"/>
      </w:pPr>
      <w:r>
        <w:t xml:space="preserve">Since then, Intel has announced a</w:t>
      </w:r>
      <w:r>
        <w:t xml:space="preserve"> </w:t>
      </w:r>
      <w:r>
        <w:rPr>
          <w:b/>
          <w:bCs/>
        </w:rPr>
        <w:t xml:space="preserve">€5 billion investment in its Leixlip, Ireland campus</w:t>
      </w:r>
      <w:r>
        <w:t xml:space="preserve"> </w:t>
      </w:r>
      <w:r>
        <w:t xml:space="preserve">to expand Intel 3 capacity for Xeon 6 and future Xeon products. The investment primarily uses existing cleanroom space, which should be more capital-efficient than constructing an entirely new fab, but it reinforces the importance of disciplined execution and demand visibility. (</w:t>
      </w:r>
      <w:hyperlink r:id="rId22">
        <w:r>
          <w:rPr>
            <w:rStyle w:val="Hyperlink"/>
          </w:rPr>
          <w:t xml:space="preserve">newsroom.intel.com</w:t>
        </w:r>
      </w:hyperlink>
      <w:r>
        <w:t xml:space="preserve">)</w:t>
      </w:r>
    </w:p>
    <w:p>
      <w:pPr>
        <w:pStyle w:val="BodyText"/>
      </w:pPr>
      <w:r>
        <w:t xml:space="preserve">Intel previously maintained that it could produce positive adjusted free cash flow for 2026, excluding the Fab 34 joint-venture repurchase. That commitment deserves close attention after:</w:t>
      </w:r>
    </w:p>
    <w:p>
      <w:pPr>
        <w:pStyle w:val="Compact"/>
        <w:numPr>
          <w:ilvl w:val="0"/>
          <w:numId w:val="1008"/>
        </w:numPr>
      </w:pPr>
      <w:r>
        <w:t xml:space="preserve">Negative $2.0 billion adjusted free cash flow in Q1.</w:t>
      </w:r>
    </w:p>
    <w:p>
      <w:pPr>
        <w:pStyle w:val="Compact"/>
        <w:numPr>
          <w:ilvl w:val="0"/>
          <w:numId w:val="1008"/>
        </w:numPr>
      </w:pPr>
      <w:r>
        <w:t xml:space="preserve">The Fab 34 transaction, financed with approximately $7.7 billion of cash and $6.5 billion of new debt.</w:t>
      </w:r>
    </w:p>
    <w:p>
      <w:pPr>
        <w:pStyle w:val="Compact"/>
        <w:numPr>
          <w:ilvl w:val="0"/>
          <w:numId w:val="1008"/>
        </w:numPr>
      </w:pPr>
      <w:r>
        <w:t xml:space="preserve">Higher capacity investment.</w:t>
      </w:r>
    </w:p>
    <w:p>
      <w:pPr>
        <w:pStyle w:val="Compact"/>
        <w:numPr>
          <w:ilvl w:val="0"/>
          <w:numId w:val="1008"/>
        </w:numPr>
      </w:pPr>
      <w:r>
        <w:t xml:space="preserve">Rising input and labor costs. (</w:t>
      </w:r>
      <w:hyperlink r:id="rId11">
        <w:r>
          <w:rPr>
            <w:rStyle w:val="Hyperlink"/>
          </w:rPr>
          <w:t xml:space="preserve">intc.com</w:t>
        </w:r>
      </w:hyperlink>
      <w:r>
        <w:t xml:space="preserve">)</w:t>
      </w:r>
    </w:p>
    <w:p>
      <w:pPr>
        <w:pStyle w:val="FirstParagraph"/>
      </w:pPr>
      <w:r>
        <w:t xml:space="preserve">A further increase in capital spending would be easier to justify if accompanied by contracted customer demand. Capex rising on the basis of anticipated rather than committed demand would increase execution risk.</w:t>
      </w:r>
    </w:p>
    <w:bookmarkEnd w:id="23"/>
    <w:bookmarkStart w:id="25" w:name="stock-setup-expectations-are-elevated"/>
    <w:p>
      <w:pPr>
        <w:pStyle w:val="Heading2"/>
      </w:pPr>
      <w:r>
        <w:t xml:space="preserve">Stock setup: expectations are elevated</w:t>
      </w:r>
    </w:p>
    <w:p>
      <w:pPr>
        <w:pStyle w:val="FirstParagraph"/>
      </w:pPr>
      <w:r>
        <w:t xml:space="preserve">INTC was recently around</w:t>
      </w:r>
      <w:r>
        <w:t xml:space="preserve"> </w:t>
      </w:r>
      <w:r>
        <w:rPr>
          <w:b/>
          <w:bCs/>
        </w:rPr>
        <w:t xml:space="preserve">$102.62</w:t>
      </w:r>
      <w:r>
        <w:t xml:space="preserve">. The shares have risen dramatically since the Q1 report and are up more than 150% in 2026, although they have also fallen materially from their June peak amid a broader semiconductor pullback. (</w:t>
      </w:r>
      <w:hyperlink r:id="rId24">
        <w:r>
          <w:rPr>
            <w:rStyle w:val="Hyperlink"/>
          </w:rPr>
          <w:t xml:space="preserve">kiplinger.com</w:t>
        </w:r>
      </w:hyperlink>
      <w:r>
        <w:t xml:space="preserve">)</w:t>
      </w:r>
    </w:p>
    <w:p>
      <w:pPr>
        <w:pStyle w:val="BodyText"/>
      </w:pPr>
      <w:r>
        <w:t xml:space="preserve">That creates an unusual setup:</w:t>
      </w:r>
    </w:p>
    <w:p>
      <w:pPr>
        <w:pStyle w:val="Compact"/>
        <w:numPr>
          <w:ilvl w:val="0"/>
          <w:numId w:val="1009"/>
        </w:numPr>
      </w:pPr>
      <w:r>
        <w:t xml:space="preserve">The pullback reduces some near-term positioning risk.</w:t>
      </w:r>
    </w:p>
    <w:p>
      <w:pPr>
        <w:pStyle w:val="Compact"/>
        <w:numPr>
          <w:ilvl w:val="0"/>
          <w:numId w:val="1009"/>
        </w:numPr>
      </w:pPr>
      <w:r>
        <w:t xml:space="preserve">But the broader re-rating means investors are already assigning substantial value to Intel’s server recovery, manufacturing execution and foundry potential.</w:t>
      </w:r>
    </w:p>
    <w:p>
      <w:pPr>
        <w:pStyle w:val="Compact"/>
        <w:numPr>
          <w:ilvl w:val="0"/>
          <w:numId w:val="1009"/>
        </w:numPr>
      </w:pPr>
      <w:r>
        <w:t xml:space="preserve">The stock is therefore likely to respond more to</w:t>
      </w:r>
      <w:r>
        <w:t xml:space="preserve"> </w:t>
      </w:r>
      <w:r>
        <w:rPr>
          <w:b/>
          <w:bCs/>
        </w:rPr>
        <w:t xml:space="preserve">Q3 guidance and long-term evidence</w:t>
      </w:r>
      <w:r>
        <w:t xml:space="preserve"> </w:t>
      </w:r>
      <w:r>
        <w:t xml:space="preserve">than to a few hundred million dollars of Q2 revenue upside.</w:t>
      </w:r>
    </w:p>
    <w:bookmarkEnd w:id="25"/>
    <w:bookmarkStart w:id="29" w:name="scenario-framework"/>
    <w:p>
      <w:pPr>
        <w:pStyle w:val="Heading2"/>
      </w:pPr>
      <w:r>
        <w:t xml:space="preserve">Scenario framework</w:t>
      </w:r>
    </w:p>
    <w:bookmarkStart w:id="26" w:name="bull-case"/>
    <w:p>
      <w:pPr>
        <w:pStyle w:val="Heading3"/>
      </w:pPr>
      <w:r>
        <w:t xml:space="preserve">Bull case</w:t>
      </w:r>
    </w:p>
    <w:p>
      <w:pPr>
        <w:pStyle w:val="Compact"/>
        <w:numPr>
          <w:ilvl w:val="0"/>
          <w:numId w:val="1010"/>
        </w:numPr>
      </w:pPr>
      <w:r>
        <w:t xml:space="preserve">Revenue exceeds the top of the</w:t>
      </w:r>
      <w:r>
        <w:t xml:space="preserve"> </w:t>
      </w:r>
      <m:oMath>
        <m:r>
          <m:t>13.8</m:t>
        </m:r>
        <m:r>
          <m:t>B</m:t>
        </m:r>
        <m:r>
          <m:rPr>
            <m:sty m:val="p"/>
          </m:rPr>
          <m:t>–</m:t>
        </m:r>
      </m:oMath>
      <w:r>
        <w:t xml:space="preserve">14.8B range.</w:t>
      </w:r>
    </w:p>
    <w:p>
      <w:pPr>
        <w:pStyle w:val="Compact"/>
        <w:numPr>
          <w:ilvl w:val="0"/>
          <w:numId w:val="1010"/>
        </w:numPr>
      </w:pPr>
      <w:r>
        <w:t xml:space="preserve">DCAI materially exceeds approximately $5.6B.</w:t>
      </w:r>
    </w:p>
    <w:p>
      <w:pPr>
        <w:pStyle w:val="Compact"/>
        <w:numPr>
          <w:ilvl w:val="0"/>
          <w:numId w:val="1010"/>
        </w:numPr>
      </w:pPr>
      <w:r>
        <w:t xml:space="preserve">Adjusted gross margin reaches at least 40%.</w:t>
      </w:r>
    </w:p>
    <w:p>
      <w:pPr>
        <w:pStyle w:val="Compact"/>
        <w:numPr>
          <w:ilvl w:val="0"/>
          <w:numId w:val="1010"/>
        </w:numPr>
      </w:pPr>
      <w:r>
        <w:t xml:space="preserve">Q3 guidance implies continued sequential revenue and margin growth.</w:t>
      </w:r>
    </w:p>
    <w:p>
      <w:pPr>
        <w:pStyle w:val="Compact"/>
        <w:numPr>
          <w:ilvl w:val="0"/>
          <w:numId w:val="1010"/>
        </w:numPr>
      </w:pPr>
      <w:r>
        <w:t xml:space="preserve">Intel raises its server CPU outlook or confirms strong momentum into 2027.</w:t>
      </w:r>
    </w:p>
    <w:p>
      <w:pPr>
        <w:pStyle w:val="Compact"/>
        <w:numPr>
          <w:ilvl w:val="0"/>
          <w:numId w:val="1010"/>
        </w:numPr>
      </w:pPr>
      <w:r>
        <w:t xml:space="preserve">18A yields remain ahead of plan.</w:t>
      </w:r>
    </w:p>
    <w:p>
      <w:pPr>
        <w:pStyle w:val="Compact"/>
        <w:numPr>
          <w:ilvl w:val="0"/>
          <w:numId w:val="1010"/>
        </w:numPr>
      </w:pPr>
      <w:r>
        <w:t xml:space="preserve">Management provides a significant external foundry commitment or advanced-packaging win.</w:t>
      </w:r>
    </w:p>
    <w:p>
      <w:pPr>
        <w:pStyle w:val="Compact"/>
        <w:numPr>
          <w:ilvl w:val="0"/>
          <w:numId w:val="1010"/>
        </w:numPr>
      </w:pPr>
      <w:r>
        <w:t xml:space="preserve">Positive full-year adjusted free cash flow remains intact despite capacity investments.</w:t>
      </w:r>
    </w:p>
    <w:bookmarkEnd w:id="26"/>
    <w:bookmarkStart w:id="27" w:name="base-case"/>
    <w:p>
      <w:pPr>
        <w:pStyle w:val="Heading3"/>
      </w:pPr>
      <w:r>
        <w:t xml:space="preserve">Base case</w:t>
      </w:r>
    </w:p>
    <w:p>
      <w:pPr>
        <w:pStyle w:val="Compact"/>
        <w:numPr>
          <w:ilvl w:val="0"/>
          <w:numId w:val="1011"/>
        </w:numPr>
      </w:pPr>
      <w:r>
        <w:t xml:space="preserve">Revenue lands around</w:t>
      </w:r>
      <w:r>
        <w:t xml:space="preserve"> </w:t>
      </w:r>
      <m:oMath>
        <m:r>
          <m:t>14.4</m:t>
        </m:r>
        <m:r>
          <m:t>B</m:t>
        </m:r>
        <m:r>
          <m:rPr>
            <m:sty m:val="p"/>
          </m:rPr>
          <m:t>–</m:t>
        </m:r>
      </m:oMath>
      <w:r>
        <w:t xml:space="preserve">14.8B.</w:t>
      </w:r>
    </w:p>
    <w:p>
      <w:pPr>
        <w:pStyle w:val="Compact"/>
        <w:numPr>
          <w:ilvl w:val="0"/>
          <w:numId w:val="1011"/>
        </w:numPr>
      </w:pPr>
      <w:r>
        <w:t xml:space="preserve">Adjusted EPS is approximately</w:t>
      </w:r>
      <w:r>
        <w:t xml:space="preserve"> </w:t>
      </w:r>
      <m:oMath>
        <m:r>
          <m:t>0.21</m:t>
        </m:r>
        <m:r>
          <m:rPr>
            <m:sty m:val="p"/>
          </m:rPr>
          <m:t>–</m:t>
        </m:r>
      </m:oMath>
      <w:r>
        <w:t xml:space="preserve">0.25.</w:t>
      </w:r>
    </w:p>
    <w:p>
      <w:pPr>
        <w:pStyle w:val="Compact"/>
        <w:numPr>
          <w:ilvl w:val="0"/>
          <w:numId w:val="1011"/>
        </w:numPr>
      </w:pPr>
      <w:r>
        <w:t xml:space="preserve">Gross margin is near 39%.</w:t>
      </w:r>
    </w:p>
    <w:p>
      <w:pPr>
        <w:pStyle w:val="Compact"/>
        <w:numPr>
          <w:ilvl w:val="0"/>
          <w:numId w:val="1011"/>
        </w:numPr>
      </w:pPr>
      <w:r>
        <w:t xml:space="preserve">DCAI satisfies the double-digit sequential-growth target.</w:t>
      </w:r>
    </w:p>
    <w:p>
      <w:pPr>
        <w:pStyle w:val="Compact"/>
        <w:numPr>
          <w:ilvl w:val="0"/>
          <w:numId w:val="1011"/>
        </w:numPr>
      </w:pPr>
      <w:r>
        <w:t xml:space="preserve">CCG remains stable but management reiterates caution on second-half PCs.</w:t>
      </w:r>
    </w:p>
    <w:p>
      <w:pPr>
        <w:pStyle w:val="Compact"/>
        <w:numPr>
          <w:ilvl w:val="0"/>
          <w:numId w:val="1011"/>
        </w:numPr>
      </w:pPr>
      <w:r>
        <w:t xml:space="preserve">Q3 guidance is seasonally higher, without a major outlook revision.</w:t>
      </w:r>
    </w:p>
    <w:p>
      <w:pPr>
        <w:pStyle w:val="Compact"/>
        <w:numPr>
          <w:ilvl w:val="0"/>
          <w:numId w:val="1011"/>
        </w:numPr>
      </w:pPr>
      <w:r>
        <w:t xml:space="preserve">Foundry yields improve, but customer disclosures remain qualitative.</w:t>
      </w:r>
    </w:p>
    <w:p>
      <w:pPr>
        <w:pStyle w:val="FirstParagraph"/>
      </w:pPr>
      <w:r>
        <w:t xml:space="preserve">This would represent solid execution, though the stock reaction could be muted given the prior rally.</w:t>
      </w:r>
    </w:p>
    <w:bookmarkEnd w:id="27"/>
    <w:bookmarkStart w:id="28" w:name="bear-case"/>
    <w:p>
      <w:pPr>
        <w:pStyle w:val="Heading3"/>
      </w:pPr>
      <w:r>
        <w:t xml:space="preserve">Bear case</w:t>
      </w:r>
    </w:p>
    <w:p>
      <w:pPr>
        <w:pStyle w:val="Compact"/>
        <w:numPr>
          <w:ilvl w:val="0"/>
          <w:numId w:val="1012"/>
        </w:numPr>
      </w:pPr>
      <w:r>
        <w:t xml:space="preserve">Revenue falls near or below the midpoint of guidance.</w:t>
      </w:r>
    </w:p>
    <w:p>
      <w:pPr>
        <w:pStyle w:val="Compact"/>
        <w:numPr>
          <w:ilvl w:val="0"/>
          <w:numId w:val="1012"/>
        </w:numPr>
      </w:pPr>
      <w:r>
        <w:t xml:space="preserve">DCAI misses the roughly $5.6B threshold.</w:t>
      </w:r>
    </w:p>
    <w:p>
      <w:pPr>
        <w:pStyle w:val="Compact"/>
        <w:numPr>
          <w:ilvl w:val="0"/>
          <w:numId w:val="1012"/>
        </w:numPr>
      </w:pPr>
      <w:r>
        <w:t xml:space="preserve">Gross margin drops below 39% because of 18A costs, input inflation or unfavorable mix.</w:t>
      </w:r>
    </w:p>
    <w:p>
      <w:pPr>
        <w:pStyle w:val="Compact"/>
        <w:numPr>
          <w:ilvl w:val="0"/>
          <w:numId w:val="1012"/>
        </w:numPr>
      </w:pPr>
      <w:r>
        <w:t xml:space="preserve">Q3 guidance indicates that supply growth is slowing or PC weakness is becoming more pronounced.</w:t>
      </w:r>
    </w:p>
    <w:p>
      <w:pPr>
        <w:pStyle w:val="Compact"/>
        <w:numPr>
          <w:ilvl w:val="0"/>
          <w:numId w:val="1012"/>
        </w:numPr>
      </w:pPr>
      <w:r>
        <w:t xml:space="preserve">Capital spending rises while the free-cash-flow target is delayed.</w:t>
      </w:r>
    </w:p>
    <w:p>
      <w:pPr>
        <w:pStyle w:val="Compact"/>
        <w:numPr>
          <w:ilvl w:val="0"/>
          <w:numId w:val="1012"/>
        </w:numPr>
      </w:pPr>
      <w:r>
        <w:t xml:space="preserve">Foundry commentary remains centered on evaluations and rumors rather than committed volume.</w:t>
      </w:r>
    </w:p>
    <w:p>
      <w:pPr>
        <w:pStyle w:val="Compact"/>
        <w:numPr>
          <w:ilvl w:val="0"/>
          <w:numId w:val="1012"/>
        </w:numPr>
      </w:pPr>
      <w:r>
        <w:t xml:space="preserve">Intel signals delays in 18A, Panther Lake, Diamond Rapids or the 14A customer-decision timeline.</w:t>
      </w:r>
    </w:p>
    <w:bookmarkEnd w:id="28"/>
    <w:bookmarkEnd w:id="29"/>
    <w:bookmarkStart w:id="30" w:name="bottom-line"/>
    <w:p>
      <w:pPr>
        <w:pStyle w:val="Heading2"/>
      </w:pPr>
      <w:r>
        <w:t xml:space="preserve">Bottom line</w:t>
      </w:r>
    </w:p>
    <w:p>
      <w:pPr>
        <w:pStyle w:val="FirstParagraph"/>
      </w:pPr>
      <w:r>
        <w:rPr>
          <w:b/>
          <w:bCs/>
        </w:rPr>
        <w:t xml:space="preserve">The principal question is no longer whether Intel’s business is stabilizing. It is whether the company can convert strong AI-related CPU demand and improving process execution into durable margins and cash flow.</w:t>
      </w:r>
    </w:p>
    <w:p>
      <w:pPr>
        <w:pStyle w:val="BodyText"/>
      </w:pPr>
      <w:r>
        <w:t xml:space="preserve">Q2 revenue and EPS expectations are not especially aggressive relative to management’s own guidance. The harder hurdle is qualitative: Intel needs to show that server strength will persist, that 18A’s economics are improving, and that capital-intensive foundry expansion is increasingly supported by real customer commitments.</w:t>
      </w:r>
    </w:p>
    <w:p>
      <w:pPr>
        <w:pStyle w:val="BodyText"/>
      </w:pPr>
      <w:r>
        <w:t xml:space="preserve">The cleanest positive report would combine</w:t>
      </w:r>
      <w:r>
        <w:t xml:space="preserve"> </w:t>
      </w:r>
      <w:r>
        <w:rPr>
          <w:b/>
          <w:bCs/>
        </w:rPr>
        <w:t xml:space="preserve">DCAI upside, gross margin at or above 40%, constructive Q3 guidance and tangible foundry validation</w:t>
      </w:r>
      <w:r>
        <w:t xml:space="preserve">. A revenue beat accompanied by weak margins, higher capex and vague foundry commentary would be considerably less compelling.</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https://download.intel.com/newsroom/2026/earnings/1Q2026-Earnings-Call.pdf" TargetMode="External" /><Relationship Type="http://schemas.openxmlformats.org/officeDocument/2006/relationships/hyperlink" Id="rId9" Target="https://newsroom.intel.com/corporate/intel-to-report-second-quarter-2026-financial-results" TargetMode="External" /><Relationship Type="http://schemas.openxmlformats.org/officeDocument/2006/relationships/hyperlink" Id="rId22" Target="https://newsroom.intel.com/intel-foundry/intel-invests-5-billion-euro-to-expand-manufacturing-in-europe" TargetMode="External" /><Relationship Type="http://schemas.openxmlformats.org/officeDocument/2006/relationships/hyperlink" Id="rId11" Target="https://www.intc.com/news-events/press-releases/detail/1767/intel-reports-first-quarter-2026-financial-results?utm_source=openai" TargetMode="External" /><Relationship Type="http://schemas.openxmlformats.org/officeDocument/2006/relationships/hyperlink" Id="rId24" Target="https://www.kiplinger.com/investing/stocks/17494/next-week-earnings-calendar-stocks" TargetMode="External" /><Relationship Type="http://schemas.openxmlformats.org/officeDocument/2006/relationships/hyperlink" Id="rId18" Target="https://www.spglobal.com/market-intelligence/en/news-insights/research/2026/07/intel-s-ai-driven-data-center-growth-set-to-power-second-quarter-earnings" TargetMode="External" /><Relationship Type="http://schemas.openxmlformats.org/officeDocument/2006/relationships/hyperlink" Id="rId20" Target="https://www.tomshardware.com/tech-industry/semiconductors/intel-to-co-develop-and-manufacture-fortinets-next-gen-firewall-asic" TargetMode="External" /></Relationships>
</file>

<file path=word/_rels/footnotes.xml.rels><?xml version="1.0" encoding="UTF-8"?><Relationships xmlns="http://schemas.openxmlformats.org/package/2006/relationships"><Relationship Type="http://schemas.openxmlformats.org/officeDocument/2006/relationships/hyperlink" Id="rId15" Target="https://download.intel.com/newsroom/2026/earnings/1Q2026-Earnings-Call.pdf" TargetMode="External" /><Relationship Type="http://schemas.openxmlformats.org/officeDocument/2006/relationships/hyperlink" Id="rId9" Target="https://newsroom.intel.com/corporate/intel-to-report-second-quarter-2026-financial-results" TargetMode="External" /><Relationship Type="http://schemas.openxmlformats.org/officeDocument/2006/relationships/hyperlink" Id="rId22" Target="https://newsroom.intel.com/intel-foundry/intel-invests-5-billion-euro-to-expand-manufacturing-in-europe" TargetMode="External" /><Relationship Type="http://schemas.openxmlformats.org/officeDocument/2006/relationships/hyperlink" Id="rId11" Target="https://www.intc.com/news-events/press-releases/detail/1767/intel-reports-first-quarter-2026-financial-results?utm_source=openai" TargetMode="External" /><Relationship Type="http://schemas.openxmlformats.org/officeDocument/2006/relationships/hyperlink" Id="rId24" Target="https://www.kiplinger.com/investing/stocks/17494/next-week-earnings-calendar-stocks" TargetMode="External" /><Relationship Type="http://schemas.openxmlformats.org/officeDocument/2006/relationships/hyperlink" Id="rId18" Target="https://www.spglobal.com/market-intelligence/en/news-insights/research/2026/07/intel-s-ai-driven-data-center-growth-set-to-power-second-quarter-earnings" TargetMode="External" /><Relationship Type="http://schemas.openxmlformats.org/officeDocument/2006/relationships/hyperlink" Id="rId20" Target="https://www.tomshardware.com/tech-industry/semiconductors/intel-to-co-develop-and-manufacture-fortinets-next-gen-firewall-asic"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2026-07-23T01:04:34Z</dcterms:created>
  <dcterms:modified xsi:type="dcterms:W3CDTF">2026-07-23T01:04:34Z</dcterms:modified>
</cp:coreProperties>
</file>

<file path=docProps/custom.xml><?xml version="1.0" encoding="utf-8"?>
<Properties xmlns="http://schemas.openxmlformats.org/officeDocument/2006/custom-properties" xmlns:vt="http://schemas.openxmlformats.org/officeDocument/2006/docPropsVTypes"/>
</file>