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intel-intc-q2-2026-earnings-preview"/>
    <w:p>
      <w:pPr>
        <w:pStyle w:val="Heading1"/>
      </w:pPr>
      <w:r>
        <w:t xml:space="preserve">Intel (INTC) Q2 2026 Earnings Preview</w:t>
      </w:r>
    </w:p>
    <w:p>
      <w:pPr>
        <w:pStyle w:val="BlockText"/>
      </w:pPr>
      <w:r>
        <w:rPr>
          <w:b/>
          <w:bCs/>
        </w:rPr>
        <w:t xml:space="preserve">Timing note:</w:t>
      </w:r>
      <w:r>
        <w:t xml:space="preserve"> </w:t>
      </w:r>
      <w:r>
        <w:t xml:space="preserve">Intel is scheduled to report</w:t>
      </w:r>
      <w:r>
        <w:t xml:space="preserve"> </w:t>
      </w:r>
      <w:r>
        <w:rPr>
          <w:b/>
          <w:bCs/>
        </w:rPr>
        <w:t xml:space="preserve">after the U.S. market close today, Thursday, July 23, 2026</w:t>
      </w:r>
      <w:r>
        <w:t xml:space="preserve">—not tomorrow. The associated</w:t>
      </w:r>
      <w:r>
        <w:t xml:space="preserve"> </w:t>
      </w:r>
      <w:r>
        <w:rPr>
          <w:b/>
          <w:bCs/>
        </w:rPr>
        <w:t xml:space="preserve">2026Q2 earnings call</w:t>
      </w:r>
      <w:r>
        <w:t xml:space="preserve"> </w:t>
      </w:r>
      <w:r>
        <w:t xml:space="preserve">should follow the release.</w:t>
      </w:r>
    </w:p>
    <w:bookmarkStart w:id="9" w:name="bottom-line"/>
    <w:p>
      <w:pPr>
        <w:pStyle w:val="Heading2"/>
      </w:pPr>
      <w:r>
        <w:t xml:space="preserve">Bottom line</w:t>
      </w:r>
    </w:p>
    <w:p>
      <w:pPr>
        <w:pStyle w:val="FirstParagraph"/>
      </w:pPr>
      <w:r>
        <w:t xml:space="preserve">Intel enters Q2 with a strong operating narrative but a demanding set of proof points. The company’s Q1 beat was driven by better-than-expected available supply, pricing, mix, and the sale of previously reserved inventory. For Q2, investors will focus less on whether Intel clears its formal guide and more on whether it can demonstrate that:</w:t>
      </w:r>
    </w:p>
    <w:p>
      <w:pPr>
        <w:pStyle w:val="Compact"/>
        <w:numPr>
          <w:ilvl w:val="0"/>
          <w:numId w:val="1001"/>
        </w:numPr>
      </w:pPr>
      <w:r>
        <w:rPr>
          <w:b/>
          <w:bCs/>
        </w:rPr>
        <w:t xml:space="preserve">AI-driven server CPU demand is durable and translating into DCAI growth;</w:t>
      </w:r>
    </w:p>
    <w:p>
      <w:pPr>
        <w:pStyle w:val="Compact"/>
        <w:numPr>
          <w:ilvl w:val="0"/>
          <w:numId w:val="1001"/>
        </w:numPr>
      </w:pPr>
      <w:r>
        <w:rPr>
          <w:b/>
          <w:bCs/>
        </w:rPr>
        <w:t xml:space="preserve">supply expansion and 18A yield progress can support growth without further margin erosion;</w:t>
      </w:r>
    </w:p>
    <w:p>
      <w:pPr>
        <w:pStyle w:val="Compact"/>
        <w:numPr>
          <w:ilvl w:val="0"/>
          <w:numId w:val="1001"/>
        </w:numPr>
      </w:pPr>
      <w:r>
        <w:rPr>
          <w:b/>
          <w:bCs/>
        </w:rPr>
        <w:t xml:space="preserve">the external foundry strategy is progressing from promising engagements to economically meaningful customer commitments;</w:t>
      </w:r>
      <w:r>
        <w:t xml:space="preserve"> </w:t>
      </w:r>
      <w:r>
        <w:t xml:space="preserve">and</w:t>
      </w:r>
    </w:p>
    <w:p>
      <w:pPr>
        <w:pStyle w:val="Compact"/>
        <w:numPr>
          <w:ilvl w:val="0"/>
          <w:numId w:val="1001"/>
        </w:numPr>
      </w:pPr>
      <w:r>
        <w:rPr>
          <w:b/>
          <w:bCs/>
        </w:rPr>
        <w:t xml:space="preserve">higher capacity investment can coexist with the company’s path to positive adjusted free cash flow.</w:t>
      </w:r>
    </w:p>
    <w:p>
      <w:pPr>
        <w:pStyle w:val="FirstParagraph"/>
      </w:pPr>
      <w:r>
        <w:t xml:space="preserve">The setup is therefore more about</w:t>
      </w:r>
      <w:r>
        <w:t xml:space="preserve"> </w:t>
      </w:r>
      <w:r>
        <w:rPr>
          <w:b/>
          <w:bCs/>
        </w:rPr>
        <w:t xml:space="preserve">the quality and durability of the outlook</w:t>
      </w:r>
      <w:r>
        <w:t xml:space="preserve"> </w:t>
      </w:r>
      <w:r>
        <w:t xml:space="preserve">than the headline Q2 result.</w:t>
      </w:r>
    </w:p>
    <w:p>
      <w:r>
        <w:pict>
          <v:rect style="width:0;height:1.5pt" o:hralign="center" o:hrstd="t" o:hr="t"/>
        </w:pict>
      </w:r>
    </w:p>
    <w:bookmarkEnd w:id="9"/>
    <w:bookmarkStart w:id="10" w:name="X2c1b231993abe2b5d9f147dcaccc986c32596b8"/>
    <w:p>
      <w:pPr>
        <w:pStyle w:val="Heading2"/>
      </w:pPr>
      <w:r>
        <w:t xml:space="preserve">The company’s Q2 guide is the starting benchmark</w:t>
      </w:r>
    </w:p>
    <w:p>
      <w:pPr>
        <w:pStyle w:val="FirstParagraph"/>
      </w:pPr>
      <w:r>
        <w:t xml:space="preserve">Intel guided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Q2 2026 guidance</w:t>
            </w:r>
          </w:p>
        </w:tc>
        <w:tc>
          <w:tcPr/>
          <w:p>
            <w:pPr>
              <w:pStyle w:val="Compact"/>
              <w:jc w:val="right"/>
            </w:pPr>
            <w:r>
              <w:t xml:space="preserve">Midpoint / outlook</w:t>
            </w:r>
          </w:p>
        </w:tc>
      </w:tr>
      <w:tr>
        <w:tc>
          <w:tcPr/>
          <w:p>
            <w:pPr>
              <w:pStyle w:val="Compact"/>
            </w:pPr>
            <w:r>
              <w:t xml:space="preserve">Revenue</w:t>
            </w:r>
          </w:p>
        </w:tc>
        <w:tc>
          <w:tcPr/>
          <w:p>
            <w:pPr>
              <w:pStyle w:val="Compact"/>
              <w:jc w:val="right"/>
            </w:pPr>
            <m:oMath>
              <m:r>
                <m:t>13.8</m:t>
              </m:r>
              <m:r>
                <m:t>B</m:t>
              </m:r>
              <m:r>
                <m:rPr>
                  <m:sty m:val="p"/>
                </m:rPr>
                <m:t>–</m:t>
              </m:r>
            </m:oMath>
            <w:r>
              <w:rPr>
                <w:b/>
                <w:bCs/>
              </w:rPr>
              <w:t xml:space="preserve">14.8B</w:t>
            </w:r>
          </w:p>
        </w:tc>
      </w:tr>
      <w:tr>
        <w:tc>
          <w:tcPr/>
          <w:p>
            <w:pPr>
              <w:pStyle w:val="Compact"/>
            </w:pPr>
            <w:r>
              <w:t xml:space="preserve">Revenue midpoint</w:t>
            </w:r>
          </w:p>
        </w:tc>
        <w:tc>
          <w:tcPr/>
          <w:p>
            <w:pPr>
              <w:pStyle w:val="Compact"/>
              <w:jc w:val="right"/>
            </w:pPr>
            <w:r>
              <w:rPr>
                <w:b/>
                <w:bCs/>
              </w:rPr>
              <w:t xml:space="preserve">$14.3B</w:t>
            </w:r>
          </w:p>
        </w:tc>
      </w:tr>
      <w:tr>
        <w:tc>
          <w:tcPr/>
          <w:p>
            <w:pPr>
              <w:pStyle w:val="Compact"/>
            </w:pPr>
            <w:r>
              <w:t xml:space="preserve">Non-GAAP gross margin</w:t>
            </w:r>
          </w:p>
        </w:tc>
        <w:tc>
          <w:tcPr/>
          <w:p>
            <w:pPr>
              <w:pStyle w:val="Compact"/>
              <w:jc w:val="right"/>
            </w:pPr>
            <w:r>
              <w:rPr>
                <w:b/>
                <w:bCs/>
              </w:rPr>
              <w:t xml:space="preserve">39.0%</w:t>
            </w:r>
          </w:p>
        </w:tc>
      </w:tr>
      <w:tr>
        <w:tc>
          <w:tcPr/>
          <w:p>
            <w:pPr>
              <w:pStyle w:val="Compact"/>
            </w:pPr>
            <w:r>
              <w:t xml:space="preserve">GAAP gross margin</w:t>
            </w:r>
          </w:p>
        </w:tc>
        <w:tc>
          <w:tcPr/>
          <w:p>
            <w:pPr>
              <w:pStyle w:val="Compact"/>
              <w:jc w:val="right"/>
            </w:pPr>
            <w:r>
              <w:rPr>
                <w:b/>
                <w:bCs/>
              </w:rPr>
              <w:t xml:space="preserve">37.5%</w:t>
            </w:r>
          </w:p>
        </w:tc>
      </w:tr>
      <w:tr>
        <w:tc>
          <w:tcPr/>
          <w:p>
            <w:pPr>
              <w:pStyle w:val="Compact"/>
            </w:pPr>
            <w:r>
              <w:t xml:space="preserve">Non-GAAP EPS</w:t>
            </w:r>
          </w:p>
        </w:tc>
        <w:tc>
          <w:tcPr/>
          <w:p>
            <w:pPr>
              <w:pStyle w:val="Compact"/>
              <w:jc w:val="right"/>
            </w:pPr>
            <w:r>
              <w:rPr>
                <w:b/>
                <w:bCs/>
              </w:rPr>
              <w:t xml:space="preserve">$0.20</w:t>
            </w:r>
          </w:p>
        </w:tc>
      </w:tr>
      <w:tr>
        <w:tc>
          <w:tcPr/>
          <w:p>
            <w:pPr>
              <w:pStyle w:val="Compact"/>
            </w:pPr>
            <w:r>
              <w:t xml:space="preserve">GAAP EPS</w:t>
            </w:r>
          </w:p>
        </w:tc>
        <w:tc>
          <w:tcPr/>
          <w:p>
            <w:pPr>
              <w:pStyle w:val="Compact"/>
              <w:jc w:val="right"/>
            </w:pPr>
            <w:r>
              <w:rPr>
                <w:b/>
                <w:bCs/>
              </w:rPr>
              <w:t xml:space="preserve">$0.08</w:t>
            </w:r>
          </w:p>
        </w:tc>
      </w:tr>
    </w:tbl>
    <w:p>
      <w:pPr>
        <w:pStyle w:val="BodyText"/>
      </w:pPr>
      <w:r>
        <w:t xml:space="preserve">At the midpoint, revenue would grow roughly</w:t>
      </w:r>
      <w:r>
        <w:t xml:space="preserve"> </w:t>
      </w:r>
      <w:r>
        <w:rPr>
          <w:b/>
          <w:bCs/>
        </w:rPr>
        <w:t xml:space="preserve">5% sequentially</w:t>
      </w:r>
      <w:r>
        <w:t xml:space="preserve"> </w:t>
      </w:r>
      <w:r>
        <w:t xml:space="preserve">from Q1’s</w:t>
      </w:r>
      <w:r>
        <w:t xml:space="preserve"> </w:t>
      </w:r>
      <m:oMath>
        <m:r>
          <m:t>13.6</m:t>
        </m:r>
        <m:r>
          <m:t>B</m:t>
        </m:r>
        <m:r>
          <m:rPr>
            <m:sty m:val="p"/>
          </m:rPr>
          <m:t>.</m:t>
        </m:r>
        <m:r>
          <m:t>B</m:t>
        </m:r>
        <m:r>
          <m:t>u</m:t>
        </m:r>
        <m:r>
          <m:t>t</m:t>
        </m:r>
        <m:r>
          <m:t>t</m:t>
        </m:r>
        <m:r>
          <m:t>h</m:t>
        </m:r>
        <m:r>
          <m:t>e</m:t>
        </m:r>
        <m:r>
          <m:t>g</m:t>
        </m:r>
        <m:r>
          <m:t>u</m:t>
        </m:r>
        <m:r>
          <m:t>i</m:t>
        </m:r>
        <m:r>
          <m:t>d</m:t>
        </m:r>
        <m:r>
          <m:t>e</m:t>
        </m:r>
        <m:r>
          <m:t>a</m:t>
        </m:r>
        <m:r>
          <m:t>l</m:t>
        </m:r>
        <m:r>
          <m:t>s</m:t>
        </m:r>
        <m:r>
          <m:t>o</m:t>
        </m:r>
        <m:r>
          <m:t>c</m:t>
        </m:r>
        <m:r>
          <m:t>a</m:t>
        </m:r>
        <m:r>
          <m:t>l</m:t>
        </m:r>
        <m:r>
          <m:t>l</m:t>
        </m:r>
        <m:r>
          <m:t>s</m:t>
        </m:r>
        <m:r>
          <m:t>f</m:t>
        </m:r>
        <m:r>
          <m:t>o</m:t>
        </m:r>
        <m:r>
          <m:t>r</m:t>
        </m:r>
        <m:r>
          <m:t>n</m:t>
        </m:r>
        <m:r>
          <m:t>o</m:t>
        </m:r>
        <m:r>
          <m:t>n</m:t>
        </m:r>
        <m:r>
          <m:rPr>
            <m:sty m:val="p"/>
          </m:rPr>
          <m:t>−</m:t>
        </m:r>
        <m:r>
          <m:t>G</m:t>
        </m:r>
        <m:r>
          <m:t>A</m:t>
        </m:r>
        <m:r>
          <m:t>A</m:t>
        </m:r>
        <m:r>
          <m:t>P</m:t>
        </m:r>
        <m:r>
          <m:t>g</m:t>
        </m:r>
        <m:r>
          <m:t>r</m:t>
        </m:r>
        <m:r>
          <m:t>o</m:t>
        </m:r>
        <m:r>
          <m:t>s</m:t>
        </m:r>
        <m:r>
          <m:t>s</m:t>
        </m:r>
        <m:r>
          <m:t>m</m:t>
        </m:r>
        <m:r>
          <m:t>a</m:t>
        </m:r>
        <m:r>
          <m:t>r</m:t>
        </m:r>
        <m:r>
          <m:t>g</m:t>
        </m:r>
        <m:r>
          <m:t>i</m:t>
        </m:r>
        <m:r>
          <m:t>n</m:t>
        </m:r>
        <m:r>
          <m:t>t</m:t>
        </m:r>
        <m:r>
          <m:t>o</m:t>
        </m:r>
        <m:r>
          <m:t>f</m:t>
        </m:r>
        <m:r>
          <m:t>a</m:t>
        </m:r>
        <m:r>
          <m:t>l</m:t>
        </m:r>
        <m:r>
          <m:t>l</m:t>
        </m:r>
        <m:r>
          <m:t>f</m:t>
        </m:r>
        <m:r>
          <m:t>r</m:t>
        </m:r>
        <m:r>
          <m:t>o</m:t>
        </m:r>
        <m:r>
          <m:t>m</m:t>
        </m:r>
        <m:r>
          <m:rPr>
            <m:sty m:val="p"/>
          </m:rPr>
          <m:t>*</m:t>
        </m:r>
        <m:r>
          <m:rPr>
            <m:sty m:val="p"/>
          </m:rPr>
          <m:t>*</m:t>
        </m:r>
        <m:r>
          <m:t>41.0</m:t>
        </m:r>
      </m:oMath>
      <w:r>
        <w:t xml:space="preserve">0.29 to $0.20**.</w:t>
      </w:r>
    </w:p>
    <w:p>
      <w:pPr>
        <w:pStyle w:val="BodyText"/>
      </w:pPr>
      <w:r>
        <w:t xml:space="preserve">That margin step-down was largely telegraphed. Management attributed it to a much larger contribution from early-ramp Intel 18A products, particularly Panther Lake, plus the absence of Q1 inventory-related benefits. Therefore, merely delivering 39% gross margin may not be enough to satisfy investors: the key is whether the company can show that</w:t>
      </w:r>
      <w:r>
        <w:t xml:space="preserve"> </w:t>
      </w:r>
      <w:r>
        <w:rPr>
          <w:b/>
          <w:bCs/>
        </w:rPr>
        <w:t xml:space="preserve">18A’s near-term dilution is peaking and that yield/cost improvements are arriving on schedule.</w:t>
      </w:r>
    </w:p>
    <w:p>
      <w:r>
        <w:pict>
          <v:rect style="width:0;height:1.5pt" o:hralign="center" o:hrstd="t" o:hr="t"/>
        </w:pict>
      </w:r>
    </w:p>
    <w:bookmarkEnd w:id="10"/>
    <w:bookmarkStart w:id="11" w:name="what-matters-most-in-the-print"/>
    <w:p>
      <w:pPr>
        <w:pStyle w:val="Heading2"/>
      </w:pPr>
      <w:r>
        <w:t xml:space="preserve">What matters most in the print</w:t>
      </w:r>
    </w:p>
    <w:bookmarkEnd w:id="11"/>
    <w:bookmarkStart w:id="12" w:name="X9d114a06e6e6692ebba069069e3140f242d96a8"/>
    <w:p>
      <w:pPr>
        <w:pStyle w:val="Heading2"/>
      </w:pPr>
      <w:r>
        <w:t xml:space="preserve">1. DCAI: Can Intel convert the “CPU renaissance” narrative into sustained revenue?</w:t>
      </w:r>
    </w:p>
    <w:p>
      <w:pPr>
        <w:pStyle w:val="FirstParagraph"/>
      </w:pPr>
      <w:r>
        <w:t xml:space="preserve">The largest positive debate around Intel is its assertion that AI infrastructure is becoming increasingly CPU-intensive as workloads shift from foundational-model training toward inference, agentic AI, orchestration, networking, and control-plane functions.</w:t>
      </w:r>
    </w:p>
    <w:p>
      <w:pPr>
        <w:pStyle w:val="BodyText"/>
      </w:pPr>
      <w:r>
        <w:t xml:space="preserve">In Q1:</w:t>
      </w:r>
    </w:p>
    <w:p>
      <w:pPr>
        <w:pStyle w:val="Compact"/>
        <w:numPr>
          <w:ilvl w:val="0"/>
          <w:numId w:val="1002"/>
        </w:numPr>
      </w:pPr>
      <w:r>
        <w:rPr>
          <w:b/>
          <w:bCs/>
        </w:rPr>
        <w:t xml:space="preserve">DCAI revenue was $5.1B</w:t>
      </w:r>
      <w:r>
        <w:t xml:space="preserve">, up</w:t>
      </w:r>
      <w:r>
        <w:t xml:space="preserve"> </w:t>
      </w:r>
      <w:r>
        <w:rPr>
          <w:b/>
          <w:bCs/>
        </w:rPr>
        <w:t xml:space="preserve">22% year over year</w:t>
      </w:r>
      <w:r>
        <w:t xml:space="preserve"> </w:t>
      </w:r>
      <w:r>
        <w:t xml:space="preserve">and</w:t>
      </w:r>
      <w:r>
        <w:t xml:space="preserve"> </w:t>
      </w:r>
      <w:r>
        <w:rPr>
          <w:b/>
          <w:bCs/>
        </w:rPr>
        <w:t xml:space="preserve">7% sequentially</w:t>
      </w:r>
      <w:r>
        <w:t xml:space="preserve">.</w:t>
      </w:r>
    </w:p>
    <w:p>
      <w:pPr>
        <w:pStyle w:val="Compact"/>
        <w:numPr>
          <w:ilvl w:val="0"/>
          <w:numId w:val="1002"/>
        </w:numPr>
      </w:pPr>
      <w:r>
        <w:t xml:space="preserve">Intel guided DCAI to grow</w:t>
      </w:r>
      <w:r>
        <w:t xml:space="preserve"> </w:t>
      </w:r>
      <w:r>
        <w:rPr>
          <w:b/>
          <w:bCs/>
        </w:rPr>
        <w:t xml:space="preserve">double digits sequentially in Q2</w:t>
      </w:r>
      <w:r>
        <w:t xml:space="preserve">.</w:t>
      </w:r>
    </w:p>
    <w:p>
      <w:pPr>
        <w:pStyle w:val="Compact"/>
        <w:numPr>
          <w:ilvl w:val="0"/>
          <w:numId w:val="1002"/>
        </w:numPr>
      </w:pPr>
      <w:r>
        <w:t xml:space="preserve">Management said server CPU demand was running ahead of supply, with industry server CPU unit demand expected to grow double digits during 2026.</w:t>
      </w:r>
    </w:p>
    <w:p>
      <w:pPr>
        <w:pStyle w:val="Compact"/>
        <w:numPr>
          <w:ilvl w:val="0"/>
          <w:numId w:val="1002"/>
        </w:numPr>
      </w:pPr>
      <w:r>
        <w:t xml:space="preserve">Intel also disclosed multiple long-term customer agreements, including an expanded collaboration with Google, and cited Xeon 6 adoption in NVIDIA’s DGX Rubin NVL8 systems.</w:t>
      </w:r>
    </w:p>
    <w:p>
      <w:pPr>
        <w:pStyle w:val="FirstParagraph"/>
      </w:pPr>
      <w:r>
        <w:t xml:space="preserve">A Q2 DCAI result consistent with the guide would support the thesis that Intel’s data-center recovery is more than a short-cycle replenishment event. More important, investors will listen for evidence on:</w:t>
      </w:r>
    </w:p>
    <w:p>
      <w:pPr>
        <w:pStyle w:val="Compact"/>
        <w:numPr>
          <w:ilvl w:val="0"/>
          <w:numId w:val="1003"/>
        </w:numPr>
      </w:pPr>
      <w:r>
        <w:t xml:space="preserve">durability of hyperscaler and enterprise demand into the second half;</w:t>
      </w:r>
    </w:p>
    <w:p>
      <w:pPr>
        <w:pStyle w:val="Compact"/>
        <w:numPr>
          <w:ilvl w:val="0"/>
          <w:numId w:val="1003"/>
        </w:numPr>
      </w:pPr>
      <w:r>
        <w:t xml:space="preserve">server CPU unit growth versus pricing and core-count growth;</w:t>
      </w:r>
    </w:p>
    <w:p>
      <w:pPr>
        <w:pStyle w:val="Compact"/>
        <w:numPr>
          <w:ilvl w:val="0"/>
          <w:numId w:val="1003"/>
        </w:numPr>
      </w:pPr>
      <w:r>
        <w:t xml:space="preserve">evidence of share stabilization or gains against AMD and Arm-based alternatives;</w:t>
      </w:r>
    </w:p>
    <w:p>
      <w:pPr>
        <w:pStyle w:val="Compact"/>
        <w:numPr>
          <w:ilvl w:val="0"/>
          <w:numId w:val="1003"/>
        </w:numPr>
      </w:pPr>
      <w:r>
        <w:t xml:space="preserve">the size, duration, and economic terms of customer supply agreements; and</w:t>
      </w:r>
    </w:p>
    <w:p>
      <w:pPr>
        <w:pStyle w:val="Compact"/>
        <w:numPr>
          <w:ilvl w:val="0"/>
          <w:numId w:val="1003"/>
        </w:numPr>
      </w:pPr>
      <w:r>
        <w:t xml:space="preserve">whether the company is still supply-constrained—and how quickly that constraint is easing.</w:t>
      </w:r>
    </w:p>
    <w:p>
      <w:pPr>
        <w:pStyle w:val="FirstParagraph"/>
      </w:pPr>
      <w:r>
        <w:rPr>
          <w:b/>
          <w:bCs/>
        </w:rPr>
        <w:t xml:space="preserve">The key risk:</w:t>
      </w:r>
      <w:r>
        <w:t xml:space="preserve"> </w:t>
      </w:r>
      <w:r>
        <w:t xml:space="preserve">Management’s demand commentary has become very bullish. If DCAI is merely in line but the outlook becomes less emphatic, the market could interpret it as evidence that the AI/CPU opportunity is being over-extrapolated.</w:t>
      </w:r>
    </w:p>
    <w:p>
      <w:r>
        <w:pict>
          <v:rect style="width:0;height:1.5pt" o:hralign="center" o:hrstd="t" o:hr="t"/>
        </w:pict>
      </w:r>
    </w:p>
    <w:bookmarkEnd w:id="12"/>
    <w:bookmarkStart w:id="13" w:name="X34c7b9f06901a7108ceb5d243866fdfdc710530"/>
    <w:p>
      <w:pPr>
        <w:pStyle w:val="Heading2"/>
      </w:pPr>
      <w:r>
        <w:t xml:space="preserve">2. Client Computing: Better revenue may not mean a healthy PC market</w:t>
      </w:r>
    </w:p>
    <w:p>
      <w:pPr>
        <w:pStyle w:val="FirstParagraph"/>
      </w:pPr>
      <w:r>
        <w:t xml:space="preserve">CCG generated</w:t>
      </w:r>
      <w:r>
        <w:t xml:space="preserve"> </w:t>
      </w:r>
      <w:r>
        <w:rPr>
          <w:b/>
          <w:bCs/>
        </w:rPr>
        <w:t xml:space="preserve">$7.7B</w:t>
      </w:r>
      <w:r>
        <w:t xml:space="preserve"> </w:t>
      </w:r>
      <w:r>
        <w:t xml:space="preserve">in Q1, up only 1% year over year but ahead of Intel’s internal expectations. Management cited resilient demand, improved supply, pricing, and increased AI-PC penetration; AI PCs represented more than 60% of client CPU mix in Q1.</w:t>
      </w:r>
    </w:p>
    <w:p>
      <w:pPr>
        <w:pStyle w:val="BodyText"/>
      </w:pPr>
      <w:r>
        <w:t xml:space="preserve">However, Intel also forecast that the</w:t>
      </w:r>
      <w:r>
        <w:t xml:space="preserve"> </w:t>
      </w:r>
      <w:r>
        <w:rPr>
          <w:b/>
          <w:bCs/>
        </w:rPr>
        <w:t xml:space="preserve">full-year PC unit TAM could decline by low double digits</w:t>
      </w:r>
      <w:r>
        <w:t xml:space="preserve">, with second-half demand softer than the first half. It said client revenue could remain roughly flat from Q2 through year-end, supported by pricing and customer inventory replenishment even as end-market consumption weakens.</w:t>
      </w:r>
    </w:p>
    <w:p>
      <w:pPr>
        <w:pStyle w:val="BodyText"/>
      </w:pPr>
      <w:r>
        <w:t xml:space="preserve">This makes Q2 CCG results somewhat ambiguous:</w:t>
      </w:r>
    </w:p>
    <w:p>
      <w:pPr>
        <w:pStyle w:val="Compact"/>
        <w:numPr>
          <w:ilvl w:val="0"/>
          <w:numId w:val="1004"/>
        </w:numPr>
      </w:pPr>
      <w:r>
        <w:rPr>
          <w:b/>
          <w:bCs/>
        </w:rPr>
        <w:t xml:space="preserve">A beat</w:t>
      </w:r>
      <w:r>
        <w:t xml:space="preserve"> </w:t>
      </w:r>
      <w:r>
        <w:t xml:space="preserve">could reflect stronger end demand, higher pricing, more supply, or continued customer inventory actions.</w:t>
      </w:r>
    </w:p>
    <w:p>
      <w:pPr>
        <w:pStyle w:val="Compact"/>
        <w:numPr>
          <w:ilvl w:val="0"/>
          <w:numId w:val="1004"/>
        </w:numPr>
      </w:pPr>
      <w:r>
        <w:rPr>
          <w:b/>
          <w:bCs/>
        </w:rPr>
        <w:t xml:space="preserve">A miss</w:t>
      </w:r>
      <w:r>
        <w:t xml:space="preserve"> </w:t>
      </w:r>
      <w:r>
        <w:t xml:space="preserve">could signal actual PC weakness, component-cost pressure, or competitive share loss.</w:t>
      </w:r>
    </w:p>
    <w:p>
      <w:pPr>
        <w:pStyle w:val="Compact"/>
        <w:numPr>
          <w:ilvl w:val="0"/>
          <w:numId w:val="1004"/>
        </w:numPr>
      </w:pPr>
      <w:r>
        <w:t xml:space="preserve">The most useful disclosure will be management’s view of</w:t>
      </w:r>
      <w:r>
        <w:t xml:space="preserve"> </w:t>
      </w:r>
      <w:r>
        <w:rPr>
          <w:b/>
          <w:bCs/>
        </w:rPr>
        <w:t xml:space="preserve">sell-through versus customer inventory</w:t>
      </w:r>
      <w:r>
        <w:t xml:space="preserve"> </w:t>
      </w:r>
      <w:r>
        <w:t xml:space="preserve">and whether client pricing remains sustainable.</w:t>
      </w:r>
    </w:p>
    <w:p>
      <w:pPr>
        <w:pStyle w:val="FirstParagraph"/>
      </w:pPr>
      <w:r>
        <w:t xml:space="preserve">Investors should not mistake a good CCG revenue number for a clean PC-cycle recovery unless Intel explicitly identifies improving consumption trends.</w:t>
      </w:r>
    </w:p>
    <w:p>
      <w:r>
        <w:pict>
          <v:rect style="width:0;height:1.5pt" o:hralign="center" o:hrstd="t" o:hr="t"/>
        </w:pict>
      </w:r>
    </w:p>
    <w:bookmarkEnd w:id="13"/>
    <w:bookmarkStart w:id="14" w:name="X4239c6c4b1b16f827599a47354e7700f76871f7"/>
    <w:p>
      <w:pPr>
        <w:pStyle w:val="Heading2"/>
      </w:pPr>
      <w:r>
        <w:t xml:space="preserve">3. Gross margin is the pivotal financial metric</w:t>
      </w:r>
    </w:p>
    <w:p>
      <w:pPr>
        <w:pStyle w:val="FirstParagraph"/>
      </w:pPr>
      <w:r>
        <w:t xml:space="preserve">Intel’s Q1 non-GAAP gross margin of</w:t>
      </w:r>
      <w:r>
        <w:t xml:space="preserve"> </w:t>
      </w:r>
      <w:r>
        <w:rPr>
          <w:b/>
          <w:bCs/>
        </w:rPr>
        <w:t xml:space="preserve">41.0%</w:t>
      </w:r>
      <w:r>
        <w:t xml:space="preserve"> </w:t>
      </w:r>
      <w:r>
        <w:t xml:space="preserve">was unusually strong relative to its earlier outlook, benefiting from volume, product mix, pricing, better yields, and previously reserved inventory. Q2’s 39.0% guide effectively acknowledges that some of those benefits do not repeat.</w:t>
      </w:r>
    </w:p>
    <w:p>
      <w:pPr>
        <w:pStyle w:val="BodyText"/>
      </w:pPr>
      <w:r>
        <w:t xml:space="preserve">The central issue is Intel 18A:</w:t>
      </w:r>
    </w:p>
    <w:p>
      <w:pPr>
        <w:pStyle w:val="Compact"/>
        <w:numPr>
          <w:ilvl w:val="0"/>
          <w:numId w:val="1005"/>
        </w:numPr>
      </w:pPr>
      <w:r>
        <w:t xml:space="preserve">Panther Lake volume was expected to rise sharply in Q2.</w:t>
      </w:r>
    </w:p>
    <w:p>
      <w:pPr>
        <w:pStyle w:val="Compact"/>
        <w:numPr>
          <w:ilvl w:val="0"/>
          <w:numId w:val="1005"/>
        </w:numPr>
      </w:pPr>
      <w:r>
        <w:t xml:space="preserve">Intel said 18A yields were ahead of internal projections, but the process remained below corporate-average profitability during its early ramp.</w:t>
      </w:r>
    </w:p>
    <w:p>
      <w:pPr>
        <w:pStyle w:val="Compact"/>
        <w:numPr>
          <w:ilvl w:val="0"/>
          <w:numId w:val="1005"/>
        </w:numPr>
      </w:pPr>
      <w:r>
        <w:t xml:space="preserve">Management expected 18A to pressure Q2 gross margin despite incremental pricing and strong DCAI demand.</w:t>
      </w:r>
    </w:p>
    <w:p>
      <w:pPr>
        <w:pStyle w:val="Compact"/>
        <w:numPr>
          <w:ilvl w:val="0"/>
          <w:numId w:val="1005"/>
        </w:numPr>
      </w:pPr>
      <w:r>
        <w:t xml:space="preserve">Higher input costs—including memory, substrates, and T-glass—were identified as potential second-half margin headwinds.</w:t>
      </w:r>
    </w:p>
    <w:p>
      <w:pPr>
        <w:pStyle w:val="FirstParagraph"/>
      </w:pPr>
      <w:r>
        <w:rPr>
          <w:b/>
          <w:bCs/>
        </w:rPr>
        <w:t xml:space="preserve">Bull case:</w:t>
      </w:r>
      <w:r>
        <w:t xml:space="preserve"> </w:t>
      </w:r>
      <w:r>
        <w:t xml:space="preserve">Intel matches or exceeds the 39% margin target while signaling that 18A yields, throughput, and product costs are improving faster than expected.</w:t>
      </w:r>
    </w:p>
    <w:p>
      <w:pPr>
        <w:pStyle w:val="BodyText"/>
      </w:pPr>
      <w:r>
        <w:rPr>
          <w:b/>
          <w:bCs/>
        </w:rPr>
        <w:t xml:space="preserve">Bear case:</w:t>
      </w:r>
      <w:r>
        <w:t xml:space="preserve"> </w:t>
      </w:r>
      <w:r>
        <w:t xml:space="preserve">Intel delivers revenue but misses on gross margin or offers a cautious second-half margin outlook, suggesting that the manufacturing recovery is costing more—or taking longer—than investors expect.</w:t>
      </w:r>
    </w:p>
    <w:p>
      <w:pPr>
        <w:pStyle w:val="BodyText"/>
      </w:pPr>
      <w:r>
        <w:t xml:space="preserve">For this report, a revenue beat paired with weak gross margin would likely be viewed less favorably than a modest revenue result with clear evidence of improving 18A economics.</w:t>
      </w:r>
    </w:p>
    <w:p>
      <w:r>
        <w:pict>
          <v:rect style="width:0;height:1.5pt" o:hralign="center" o:hrstd="t" o:hr="t"/>
        </w:pict>
      </w:r>
    </w:p>
    <w:bookmarkEnd w:id="14"/>
    <w:bookmarkStart w:id="15" w:name="Xe0820ca0c7128079e26af9ed456573428831d66"/>
    <w:p>
      <w:pPr>
        <w:pStyle w:val="Heading2"/>
      </w:pPr>
      <w:r>
        <w:t xml:space="preserve">4. Foundry: recent headlines raise the stakes, but revenue proof remains limited</w:t>
      </w:r>
    </w:p>
    <w:p>
      <w:pPr>
        <w:pStyle w:val="FirstParagraph"/>
      </w:pPr>
      <w:r>
        <w:t xml:space="preserve">Intel Foundry is central to the long-term equity story, but it remains financially burdensome today.</w:t>
      </w:r>
    </w:p>
    <w:p>
      <w:pPr>
        <w:pStyle w:val="BodyText"/>
      </w:pPr>
      <w:r>
        <w:t xml:space="preserve">In Q1:</w:t>
      </w:r>
    </w:p>
    <w:p>
      <w:pPr>
        <w:pStyle w:val="Compact"/>
        <w:numPr>
          <w:ilvl w:val="0"/>
          <w:numId w:val="1006"/>
        </w:numPr>
      </w:pPr>
      <w:r>
        <w:t xml:space="preserve">Intel Foundry reported</w:t>
      </w:r>
      <w:r>
        <w:t xml:space="preserve"> </w:t>
      </w:r>
      <w:r>
        <w:rPr>
          <w:b/>
          <w:bCs/>
        </w:rPr>
        <w:t xml:space="preserve">$5.4B of segment revenue</w:t>
      </w:r>
      <w:r>
        <w:t xml:space="preserve">, primarily intersegment revenue from Intel’s own product groups.</w:t>
      </w:r>
    </w:p>
    <w:p>
      <w:pPr>
        <w:pStyle w:val="Compact"/>
        <w:numPr>
          <w:ilvl w:val="0"/>
          <w:numId w:val="1006"/>
        </w:numPr>
      </w:pPr>
      <w:r>
        <w:rPr>
          <w:b/>
          <w:bCs/>
        </w:rPr>
        <w:t xml:space="preserve">External foundry revenue was only $174M</w:t>
      </w:r>
      <w:r>
        <w:t xml:space="preserve">.</w:t>
      </w:r>
    </w:p>
    <w:p>
      <w:pPr>
        <w:pStyle w:val="Compact"/>
        <w:numPr>
          <w:ilvl w:val="0"/>
          <w:numId w:val="1006"/>
        </w:numPr>
      </w:pPr>
      <w:r>
        <w:t xml:space="preserve">The segment posted a</w:t>
      </w:r>
      <w:r>
        <w:t xml:space="preserve"> </w:t>
      </w:r>
      <w:r>
        <w:rPr>
          <w:b/>
          <w:bCs/>
        </w:rPr>
        <w:t xml:space="preserve">$2.4B operating loss</w:t>
      </w:r>
      <w:r>
        <w:t xml:space="preserve">.</w:t>
      </w:r>
    </w:p>
    <w:p>
      <w:pPr>
        <w:pStyle w:val="Compact"/>
        <w:numPr>
          <w:ilvl w:val="0"/>
          <w:numId w:val="1006"/>
        </w:numPr>
      </w:pPr>
      <w:r>
        <w:t xml:space="preserve">Management expected the loss to improve through 2026 as 18A scales and yields improve.</w:t>
      </w:r>
    </w:p>
    <w:p>
      <w:pPr>
        <w:pStyle w:val="FirstParagraph"/>
      </w:pPr>
      <w:r>
        <w:t xml:space="preserve">Recent developments strengthen the strategic narrative:</w:t>
      </w:r>
    </w:p>
    <w:p>
      <w:pPr>
        <w:pStyle w:val="Compact"/>
        <w:numPr>
          <w:ilvl w:val="0"/>
          <w:numId w:val="1007"/>
        </w:numPr>
      </w:pPr>
      <w:r>
        <w:t xml:space="preserve">Intel announced Fortinet as a named external foundry customer for its next-generation security ASIC, to be manufactured on the older</w:t>
      </w:r>
      <w:r>
        <w:t xml:space="preserve"> </w:t>
      </w:r>
      <w:r>
        <w:rPr>
          <w:b/>
          <w:bCs/>
        </w:rPr>
        <w:t xml:space="preserve">Intel 4</w:t>
      </w:r>
      <w:r>
        <w:t xml:space="preserve"> </w:t>
      </w:r>
      <w:r>
        <w:t xml:space="preserve">process.</w:t>
      </w:r>
    </w:p>
    <w:p>
      <w:pPr>
        <w:pStyle w:val="Compact"/>
        <w:numPr>
          <w:ilvl w:val="0"/>
          <w:numId w:val="1007"/>
        </w:numPr>
      </w:pPr>
      <w:r>
        <w:t xml:space="preserve">Intel also announced a</w:t>
      </w:r>
      <w:r>
        <w:t xml:space="preserve"> </w:t>
      </w:r>
      <w:r>
        <w:rPr>
          <w:b/>
          <w:bCs/>
        </w:rPr>
        <w:t xml:space="preserve">€5B investment</w:t>
      </w:r>
      <w:r>
        <w:t xml:space="preserve"> </w:t>
      </w:r>
      <w:r>
        <w:t xml:space="preserve">to expand output at its Irish manufacturing site, aimed at supplying Xeon 6 and next-generation Xeon products.</w:t>
      </w:r>
    </w:p>
    <w:p>
      <w:pPr>
        <w:pStyle w:val="Compact"/>
        <w:numPr>
          <w:ilvl w:val="0"/>
          <w:numId w:val="1007"/>
        </w:numPr>
      </w:pPr>
      <w:r>
        <w:t xml:space="preserve">Press reports have raised expectations around potential larger foundry relationships, including Apple-related speculation and possible Ohio-fab partnership structures. These remain important but should be treated as unconfirmed unless Intel provides explicit disclosure.</w:t>
      </w:r>
    </w:p>
    <w:p>
      <w:pPr>
        <w:pStyle w:val="FirstParagraph"/>
      </w:pPr>
      <w:r>
        <w:t xml:space="preserve">The report’s foundry questions are straightforward:</w:t>
      </w:r>
    </w:p>
    <w:p>
      <w:pPr>
        <w:pStyle w:val="Compact"/>
        <w:numPr>
          <w:ilvl w:val="0"/>
          <w:numId w:val="1008"/>
        </w:numPr>
      </w:pPr>
      <w:r>
        <w:t xml:space="preserve">Has external-customer engagement advanced into material design wins, commitments, or backlog?</w:t>
      </w:r>
    </w:p>
    <w:p>
      <w:pPr>
        <w:pStyle w:val="Compact"/>
        <w:numPr>
          <w:ilvl w:val="0"/>
          <w:numId w:val="1008"/>
        </w:numPr>
      </w:pPr>
      <w:r>
        <w:t xml:space="preserve">Is there an update on a significant leading-edge 18A or 14A customer?</w:t>
      </w:r>
    </w:p>
    <w:p>
      <w:pPr>
        <w:pStyle w:val="Compact"/>
        <w:numPr>
          <w:ilvl w:val="0"/>
          <w:numId w:val="1008"/>
        </w:numPr>
      </w:pPr>
      <w:r>
        <w:t xml:space="preserve">Are 18A yields and cycle times improving fast enough to reduce foundry losses?</w:t>
      </w:r>
    </w:p>
    <w:p>
      <w:pPr>
        <w:pStyle w:val="Compact"/>
        <w:numPr>
          <w:ilvl w:val="0"/>
          <w:numId w:val="1008"/>
        </w:numPr>
      </w:pPr>
      <w:r>
        <w:t xml:space="preserve">Does the Irish investment—or any potential Ohio partner—change Intel’s capital-intensity or external-foundry revenue trajectory?</w:t>
      </w:r>
    </w:p>
    <w:p>
      <w:pPr>
        <w:pStyle w:val="FirstParagraph"/>
      </w:pPr>
      <w:r>
        <w:rPr>
          <w:b/>
          <w:bCs/>
        </w:rPr>
        <w:t xml:space="preserve">Important distinction:</w:t>
      </w:r>
      <w:r>
        <w:t xml:space="preserve"> </w:t>
      </w:r>
      <w:r>
        <w:t xml:space="preserve">Fortinet is strategically useful validation, but it is not yet the kind of large, leading-edge foundry customer that would fully underwrite Intel’s multiyear manufacturing investment case.</w:t>
      </w:r>
    </w:p>
    <w:p>
      <w:r>
        <w:pict>
          <v:rect style="width:0;height:1.5pt" o:hralign="center" o:hrstd="t" o:hr="t"/>
        </w:pict>
      </w:r>
    </w:p>
    <w:bookmarkEnd w:id="15"/>
    <w:bookmarkStart w:id="16" w:name="X1ee51ebcba4e08a16751077fb1c704d6d58d350"/>
    <w:p>
      <w:pPr>
        <w:pStyle w:val="Heading2"/>
      </w:pPr>
      <w:r>
        <w:t xml:space="preserve">5. Cash flow, CapEx, and balance-sheet discipline deserve close attention</w:t>
      </w:r>
    </w:p>
    <w:p>
      <w:pPr>
        <w:pStyle w:val="FirstParagraph"/>
      </w:pPr>
      <w:r>
        <w:t xml:space="preserve">Intel’s operational recovery comes with a large capital requirement.</w:t>
      </w:r>
    </w:p>
    <w:p>
      <w:pPr>
        <w:pStyle w:val="BodyText"/>
      </w:pPr>
      <w:r>
        <w:t xml:space="preserve">In Q1:</w:t>
      </w:r>
    </w:p>
    <w:p>
      <w:pPr>
        <w:pStyle w:val="Compact"/>
        <w:numPr>
          <w:ilvl w:val="0"/>
          <w:numId w:val="1009"/>
        </w:numPr>
      </w:pPr>
      <w:r>
        <w:t xml:space="preserve">Operating cash flow was</w:t>
      </w:r>
      <w:r>
        <w:t xml:space="preserve"> </w:t>
      </w:r>
      <w:r>
        <w:rPr>
          <w:b/>
          <w:bCs/>
        </w:rPr>
        <w:t xml:space="preserve">$1.1B</w:t>
      </w:r>
      <w:r>
        <w:t xml:space="preserve">.</w:t>
      </w:r>
    </w:p>
    <w:p>
      <w:pPr>
        <w:pStyle w:val="Compact"/>
        <w:numPr>
          <w:ilvl w:val="0"/>
          <w:numId w:val="1009"/>
        </w:numPr>
      </w:pPr>
      <w:r>
        <w:t xml:space="preserve">Gross capital expenditures were</w:t>
      </w:r>
      <w:r>
        <w:t xml:space="preserve"> </w:t>
      </w:r>
      <w:r>
        <w:rPr>
          <w:b/>
          <w:bCs/>
        </w:rPr>
        <w:t xml:space="preserve">$5.0B</w:t>
      </w:r>
      <w:r>
        <w:t xml:space="preserve">.</w:t>
      </w:r>
    </w:p>
    <w:p>
      <w:pPr>
        <w:pStyle w:val="Compact"/>
        <w:numPr>
          <w:ilvl w:val="0"/>
          <w:numId w:val="1009"/>
        </w:numPr>
      </w:pPr>
      <w:r>
        <w:t xml:space="preserve">Adjusted free cash flow was</w:t>
      </w:r>
      <w:r>
        <w:t xml:space="preserve"> </w:t>
      </w:r>
      <w:r>
        <w:rPr>
          <w:b/>
          <w:bCs/>
        </w:rPr>
        <w:t xml:space="preserve">negative $2.0B</w:t>
      </w:r>
      <w:r>
        <w:t xml:space="preserve">.</w:t>
      </w:r>
    </w:p>
    <w:p>
      <w:pPr>
        <w:pStyle w:val="Compact"/>
        <w:numPr>
          <w:ilvl w:val="0"/>
          <w:numId w:val="1009"/>
        </w:numPr>
      </w:pPr>
      <w:r>
        <w:t xml:space="preserve">Intel raised its 2026 CapEx outlook to approximately flat year over year, rather than flat-to-down, because it sees greater demand and needs more equipment investment.</w:t>
      </w:r>
    </w:p>
    <w:p>
      <w:pPr>
        <w:pStyle w:val="Compact"/>
        <w:numPr>
          <w:ilvl w:val="0"/>
          <w:numId w:val="1009"/>
        </w:numPr>
      </w:pPr>
      <w:r>
        <w:t xml:space="preserve">It maintained a goal of positive adjusted free cash flow for 2026, excluding the Fab 34 joint-venture buyout.</w:t>
      </w:r>
    </w:p>
    <w:p>
      <w:pPr>
        <w:pStyle w:val="FirstParagraph"/>
      </w:pPr>
      <w:r>
        <w:t xml:space="preserve">The Fab 34 transaction added further complexity: Intel repurchased the 49% minority interest in the Ireland venture using approximately</w:t>
      </w:r>
      <w:r>
        <w:t xml:space="preserve"> </w:t>
      </w:r>
      <w:r>
        <w:rPr>
          <w:b/>
          <w:bCs/>
        </w:rPr>
        <w:t xml:space="preserve">$7.7B of cash and $6.5B of new debt</w:t>
      </w:r>
      <w:r>
        <w:t xml:space="preserve">. Management characterized the deal as economically attractive, but investors will want confirmation that debt reduction, factory investment, and free-cash-flow goals remain compatible.</w:t>
      </w:r>
    </w:p>
    <w:p>
      <w:pPr>
        <w:pStyle w:val="BodyText"/>
      </w:pPr>
      <w:r>
        <w:t xml:space="preserve">Watch for:</w:t>
      </w:r>
    </w:p>
    <w:p>
      <w:pPr>
        <w:pStyle w:val="Compact"/>
        <w:numPr>
          <w:ilvl w:val="0"/>
          <w:numId w:val="1010"/>
        </w:numPr>
      </w:pPr>
      <w:r>
        <w:t xml:space="preserve">full-year CapEx guidance;</w:t>
      </w:r>
    </w:p>
    <w:p>
      <w:pPr>
        <w:pStyle w:val="Compact"/>
        <w:numPr>
          <w:ilvl w:val="0"/>
          <w:numId w:val="1010"/>
        </w:numPr>
      </w:pPr>
      <w:r>
        <w:t xml:space="preserve">any change to positive adjusted-FCF expectations;</w:t>
      </w:r>
    </w:p>
    <w:p>
      <w:pPr>
        <w:pStyle w:val="Compact"/>
        <w:numPr>
          <w:ilvl w:val="0"/>
          <w:numId w:val="1010"/>
        </w:numPr>
      </w:pPr>
      <w:r>
        <w:t xml:space="preserve">incremental government incentives or partner contributions;</w:t>
      </w:r>
    </w:p>
    <w:p>
      <w:pPr>
        <w:pStyle w:val="Compact"/>
        <w:numPr>
          <w:ilvl w:val="0"/>
          <w:numId w:val="1010"/>
        </w:numPr>
      </w:pPr>
      <w:r>
        <w:t xml:space="preserve">expectations for debt maturities and liquidity; and</w:t>
      </w:r>
    </w:p>
    <w:p>
      <w:pPr>
        <w:pStyle w:val="Compact"/>
        <w:numPr>
          <w:ilvl w:val="0"/>
          <w:numId w:val="1010"/>
        </w:numPr>
      </w:pPr>
      <w:r>
        <w:t xml:space="preserve">whether additional capacity projects require external funding partners.</w:t>
      </w:r>
    </w:p>
    <w:p>
      <w:r>
        <w:pict>
          <v:rect style="width:0;height:1.5pt" o:hralign="center" o:hrstd="t" o:hr="t"/>
        </w:pict>
      </w:r>
    </w:p>
    <w:bookmarkEnd w:id="16"/>
    <w:bookmarkStart w:id="17" w:name="expectations-and-stock-setup"/>
    <w:p>
      <w:pPr>
        <w:pStyle w:val="Heading2"/>
      </w:pPr>
      <w:r>
        <w:t xml:space="preserve">Expectations and stock setup</w:t>
      </w:r>
    </w:p>
    <w:p>
      <w:pPr>
        <w:pStyle w:val="FirstParagraph"/>
      </w:pPr>
      <w:r>
        <w:t xml:space="preserve">The stock has been volatile into earnings. INTC closed at</w:t>
      </w:r>
      <w:r>
        <w:t xml:space="preserve"> </w:t>
      </w:r>
      <w:r>
        <w:rPr>
          <w:b/>
          <w:bCs/>
        </w:rPr>
        <w:t xml:space="preserve">$102.65 on July 22</w:t>
      </w:r>
      <w:r>
        <w:t xml:space="preserve">, down roughly</w:t>
      </w:r>
      <w:r>
        <w:t xml:space="preserve"> </w:t>
      </w:r>
      <w:r>
        <w:rPr>
          <w:b/>
          <w:bCs/>
        </w:rPr>
        <w:t xml:space="preserve">26.5% from June 30</w:t>
      </w:r>
      <w:r>
        <w:t xml:space="preserve">, versus a decline of about</w:t>
      </w:r>
      <w:r>
        <w:t xml:space="preserve"> </w:t>
      </w:r>
      <w:r>
        <w:rPr>
          <w:b/>
          <w:bCs/>
        </w:rPr>
        <w:t xml:space="preserve">13.3% for SOXX</w:t>
      </w:r>
      <w:r>
        <w:t xml:space="preserve"> </w:t>
      </w:r>
      <w:r>
        <w:t xml:space="preserve">over the same interval; it also rebounded about</w:t>
      </w:r>
      <w:r>
        <w:t xml:space="preserve"> </w:t>
      </w:r>
      <w:r>
        <w:rPr>
          <w:b/>
          <w:bCs/>
        </w:rPr>
        <w:t xml:space="preserve">8.0% from its July 17 close</w:t>
      </w:r>
      <w:r>
        <w:t xml:space="preserve">. That pattern suggests some de-risking has occurred, but the recent rebound indicates that investor appetite for a favorable earnings catalyst has returned.</w:t>
      </w:r>
    </w:p>
    <w:p>
      <w:pPr>
        <w:pStyle w:val="BodyText"/>
      </w:pPr>
      <w:r>
        <w:t xml:space="preserve">The recent move also means the market is likely balancing two competing views:</w:t>
      </w:r>
    </w:p>
    <w:p>
      <w:pPr>
        <w:pStyle w:val="Compact"/>
        <w:numPr>
          <w:ilvl w:val="0"/>
          <w:numId w:val="1011"/>
        </w:numPr>
      </w:pPr>
      <w:r>
        <w:rPr>
          <w:b/>
          <w:bCs/>
        </w:rPr>
        <w:t xml:space="preserve">Optimistic view:</w:t>
      </w:r>
      <w:r>
        <w:t xml:space="preserve"> </w:t>
      </w:r>
      <w:r>
        <w:t xml:space="preserve">AI infrastructure is broadening from GPUs toward CPUs, Intel’s supply situation is improving, 18A execution is turning, and external foundry wins could change the long-term earnings power.</w:t>
      </w:r>
    </w:p>
    <w:p>
      <w:pPr>
        <w:pStyle w:val="Compact"/>
        <w:numPr>
          <w:ilvl w:val="0"/>
          <w:numId w:val="1011"/>
        </w:numPr>
      </w:pPr>
      <w:r>
        <w:rPr>
          <w:b/>
          <w:bCs/>
        </w:rPr>
        <w:t xml:space="preserve">Skeptical view:</w:t>
      </w:r>
      <w:r>
        <w:t xml:space="preserve"> </w:t>
      </w:r>
      <w:r>
        <w:t xml:space="preserve">the stock already reflects substantial recovery optimism, while gross margin, foundry losses, capital intensity, and unconfirmed marquee-customer expectations remain substantial execution risks.</w:t>
      </w:r>
    </w:p>
    <w:p>
      <w:r>
        <w:pict>
          <v:rect style="width:0;height:1.5pt" o:hralign="center" o:hrstd="t" o:hr="t"/>
        </w:pict>
      </w:r>
    </w:p>
    <w:bookmarkEnd w:id="17"/>
    <w:bookmarkStart w:id="18" w:name="what-would-constitute-a-bullish-report"/>
    <w:p>
      <w:pPr>
        <w:pStyle w:val="Heading2"/>
      </w:pPr>
      <w:r>
        <w:t xml:space="preserve">What would constitute a bullish report?</w:t>
      </w:r>
    </w:p>
    <w:p>
      <w:pPr>
        <w:pStyle w:val="FirstParagraph"/>
      </w:pPr>
      <w:r>
        <w:t xml:space="preserve">A constructive outcome would likely include:</w:t>
      </w:r>
    </w:p>
    <w:p>
      <w:pPr>
        <w:pStyle w:val="Compact"/>
        <w:numPr>
          <w:ilvl w:val="0"/>
          <w:numId w:val="1012"/>
        </w:numPr>
      </w:pPr>
      <w:r>
        <w:t xml:space="preserve">Revenue above the $14.3B midpoint, led by clear DCAI outperformance;</w:t>
      </w:r>
    </w:p>
    <w:p>
      <w:pPr>
        <w:pStyle w:val="Compact"/>
        <w:numPr>
          <w:ilvl w:val="0"/>
          <w:numId w:val="1012"/>
        </w:numPr>
      </w:pPr>
      <w:r>
        <w:t xml:space="preserve">Non-GAAP gross margin at or above 39%, with better-than-expected 18A yield or cost commentary;</w:t>
      </w:r>
    </w:p>
    <w:p>
      <w:pPr>
        <w:pStyle w:val="Compact"/>
        <w:numPr>
          <w:ilvl w:val="0"/>
          <w:numId w:val="1012"/>
        </w:numPr>
      </w:pPr>
      <w:r>
        <w:t xml:space="preserve">Confirmation that server CPU demand remains supply-constrained and robust into H2 2026;</w:t>
      </w:r>
    </w:p>
    <w:p>
      <w:pPr>
        <w:pStyle w:val="Compact"/>
        <w:numPr>
          <w:ilvl w:val="0"/>
          <w:numId w:val="1012"/>
        </w:numPr>
      </w:pPr>
      <w:r>
        <w:t xml:space="preserve">A stable-to-improving view of second-half revenue, margins, and free cash flow;</w:t>
      </w:r>
    </w:p>
    <w:p>
      <w:pPr>
        <w:pStyle w:val="Compact"/>
        <w:numPr>
          <w:ilvl w:val="0"/>
          <w:numId w:val="1012"/>
        </w:numPr>
      </w:pPr>
      <w:r>
        <w:t xml:space="preserve">Tangible evidence that external foundry demand is moving toward major leading-edge commitments; and</w:t>
      </w:r>
    </w:p>
    <w:p>
      <w:pPr>
        <w:pStyle w:val="Compact"/>
        <w:numPr>
          <w:ilvl w:val="0"/>
          <w:numId w:val="1012"/>
        </w:numPr>
      </w:pPr>
      <w:r>
        <w:t xml:space="preserve">No material upward revision to CapEx or deterioration in cash-flow expectations.</w:t>
      </w:r>
    </w:p>
    <w:bookmarkEnd w:id="18"/>
    <w:bookmarkStart w:id="19" w:name="X6f3ed22878079f3301e38507ec22e6836a9660c"/>
    <w:p>
      <w:pPr>
        <w:pStyle w:val="Heading2"/>
      </w:pPr>
      <w:r>
        <w:t xml:space="preserve">What would constitute a disappointing report?</w:t>
      </w:r>
    </w:p>
    <w:p>
      <w:pPr>
        <w:pStyle w:val="FirstParagraph"/>
      </w:pPr>
      <w:r>
        <w:t xml:space="preserve">The bear case would be:</w:t>
      </w:r>
    </w:p>
    <w:p>
      <w:pPr>
        <w:pStyle w:val="Compact"/>
        <w:numPr>
          <w:ilvl w:val="0"/>
          <w:numId w:val="1013"/>
        </w:numPr>
      </w:pPr>
      <w:r>
        <w:t xml:space="preserve">A guide-level revenue result paired with weaker gross margin;</w:t>
      </w:r>
    </w:p>
    <w:p>
      <w:pPr>
        <w:pStyle w:val="Compact"/>
        <w:numPr>
          <w:ilvl w:val="0"/>
          <w:numId w:val="1013"/>
        </w:numPr>
      </w:pPr>
      <w:r>
        <w:t xml:space="preserve">CCG weakness framed as end-demand deterioration rather than inventory normalization;</w:t>
      </w:r>
    </w:p>
    <w:p>
      <w:pPr>
        <w:pStyle w:val="Compact"/>
        <w:numPr>
          <w:ilvl w:val="0"/>
          <w:numId w:val="1013"/>
        </w:numPr>
      </w:pPr>
      <w:r>
        <w:t xml:space="preserve">Softer server demand commentary, especially if customer ordering is pulling forward;</w:t>
      </w:r>
    </w:p>
    <w:p>
      <w:pPr>
        <w:pStyle w:val="Compact"/>
        <w:numPr>
          <w:ilvl w:val="0"/>
          <w:numId w:val="1013"/>
        </w:numPr>
      </w:pPr>
      <w:r>
        <w:t xml:space="preserve">More CapEx without a commensurate capacity, revenue, or external-foundry payoff;</w:t>
      </w:r>
    </w:p>
    <w:p>
      <w:pPr>
        <w:pStyle w:val="Compact"/>
        <w:numPr>
          <w:ilvl w:val="0"/>
          <w:numId w:val="1013"/>
        </w:numPr>
      </w:pPr>
      <w:r>
        <w:t xml:space="preserve">Continued foundry losses without a clearer timeline to customer conversion; or</w:t>
      </w:r>
    </w:p>
    <w:p>
      <w:pPr>
        <w:pStyle w:val="Compact"/>
        <w:numPr>
          <w:ilvl w:val="0"/>
          <w:numId w:val="1013"/>
        </w:numPr>
      </w:pPr>
      <w:r>
        <w:t xml:space="preserve">No incremental substance around 18A/14A customers despite heightened market expectations.</w:t>
      </w:r>
    </w:p>
    <w:p>
      <w:r>
        <w:pict>
          <v:rect style="width:0;height:1.5pt" o:hralign="center" o:hrstd="t" o:hr="t"/>
        </w:pict>
      </w:r>
    </w:p>
    <w:bookmarkEnd w:id="19"/>
    <w:bookmarkStart w:id="20" w:name="investor-takeaway"/>
    <w:p>
      <w:pPr>
        <w:pStyle w:val="Heading2"/>
      </w:pPr>
      <w:r>
        <w:t xml:space="preserve">Investor takeaway</w:t>
      </w:r>
    </w:p>
    <w:p>
      <w:pPr>
        <w:pStyle w:val="FirstParagraph"/>
      </w:pPr>
      <w:r>
        <w:t xml:space="preserve">Intel has shifted from a survival story to an execution story. Q2 is unlikely to settle the long-term debate, but it can materially affect confidence in three variables:</w:t>
      </w:r>
      <w:r>
        <w:t xml:space="preserve"> </w:t>
      </w:r>
      <w:r>
        <w:rPr>
          <w:b/>
          <w:bCs/>
        </w:rPr>
        <w:t xml:space="preserve">DCAI growth durability, 18A gross-margin progression, and foundry commercialization.</w:t>
      </w:r>
    </w:p>
    <w:p>
      <w:pPr>
        <w:pStyle w:val="BodyText"/>
      </w:pPr>
      <w:r>
        <w:t xml:space="preserve">The most important line to watch is not simply Q2 revenue or EPS. It is management’s answer to a broader question:</w:t>
      </w:r>
    </w:p>
    <w:p>
      <w:pPr>
        <w:pStyle w:val="BlockText"/>
      </w:pPr>
      <w:r>
        <w:rPr>
          <w:b/>
          <w:bCs/>
        </w:rPr>
        <w:t xml:space="preserve">Can Intel add supply fast enough to capture AI-driven CPU demand while improving, rather than sacrificing, the economics of its manufacturing model?</w:t>
      </w:r>
    </w:p>
    <w:p>
      <w:pPr>
        <w:pStyle w:val="FirstParagraph"/>
      </w:pPr>
      <w:r>
        <w:t xml:space="preserve">If the answer is increasingly “yes,” the company’s recovery case strengthens. If revenue growth comes at the expense of margins, cash flow, and still-speculative foundry expectations, the report may reinforce the view that Intel’s turnaround remains early and capital-intensive.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2026-07-23T01:05:10Z</dcterms:created>
  <dcterms:modified xsi:type="dcterms:W3CDTF">2026-07-23T01:05:10Z</dcterms:modified>
</cp:coreProperties>
</file>

<file path=docProps/custom.xml><?xml version="1.0" encoding="utf-8"?>
<Properties xmlns="http://schemas.openxmlformats.org/officeDocument/2006/custom-properties" xmlns:vt="http://schemas.openxmlformats.org/officeDocument/2006/docPropsVTypes"/>
</file>