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Intel Corporation (INTC)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Intel Corporation</w:t>
            </w:r>
          </w:p>
        </w:tc>
      </w:tr>
      <w:tr>
        <w:tc>
          <w:tcPr>
            <w:tcW w:type="dxa" w:w="4320"/>
          </w:tcPr>
          <w:p>
            <w:r>
              <w:rPr>
                <w:rFonts w:ascii="Calibri" w:hAnsi="Calibri"/>
                <w:b/>
                <w:sz w:val="22"/>
              </w:rPr>
              <w:t>Ticker</w:t>
            </w:r>
          </w:p>
        </w:tc>
        <w:tc>
          <w:tcPr>
            <w:tcW w:type="dxa" w:w="4320"/>
          </w:tcPr>
          <w:p>
            <w:r>
              <w:rPr>
                <w:rFonts w:ascii="Calibri" w:hAnsi="Calibri"/>
                <w:sz w:val="22"/>
              </w:rPr>
              <w:t>INTC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28, 2026)</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Q1 2026 — April 23, 2026 (beat on revenue, gross margin, and EPS; 6th consecutive beat)</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below guidance midpoint on both revenue and EPS, supply is ramping every quarter, and every major peer (AMD, NVDA, AVGO, MU, AMAT, TSMC) has confirmed accelerating server CPU and AI infrastructure demand that directly benefits Intel's DCAI segment; the single biggest swing factor is whether Q3 guidance can sustain the double-digit DCAI growth trajectory management signaled 90 days ago.</w:t>
      </w:r>
    </w:p>
    <w:p>
      <w:r>
        <w:rPr>
          <w:rFonts w:ascii="Calibri" w:hAnsi="Calibri"/>
          <w:color w:val="525866"/>
          <w:sz w:val="22"/>
        </w:rPr>
        <w:t xml:space="preserve">Heading into Q2 2026 results, Intel's bar is achievable: consensus revenue of $14.43B sits near the midpoint of the $13.8–$14.8B guidance range, and consensus non-GAAP EPS of $0.22 is modestly above the $0.20 guidance midpoint, leaving room for a beat if supply execution holds. </w:t>
      </w:r>
      <w:r>
        <w:rPr>
          <w:rFonts w:ascii="Calibri" w:hAnsi="Calibri"/>
          <w:color w:val="525866"/>
          <w:sz w:val="22"/>
        </w:rPr>
        <w:t xml:space="preserve">Management's tone on the Q1 call was the most confident in years — demand outpacing supply across all businesses, 18A yields running ahead of internal targets, and DCAI guided up double-digits sequentially — and nothing in the subsequent 90 days has materially changed that posture. </w:t>
      </w:r>
      <w:r>
        <w:rPr>
          <w:rFonts w:ascii="Calibri" w:hAnsi="Calibri"/>
          <w:color w:val="525866"/>
          <w:sz w:val="22"/>
        </w:rPr>
        <w:t xml:space="preserve">Estimate revisions have moved modestly higher since the Q1 print (Q2 revenue consensus up ~$0.6B, EPS up ~$0.01), tracking in line with guidance rather than diverging, which suggests the Street has appropriately calibrated rather than over-extrapolated. </w:t>
      </w:r>
      <w:r>
        <w:rPr>
          <w:rFonts w:ascii="Calibri" w:hAnsi="Calibri"/>
          <w:color w:val="525866"/>
          <w:sz w:val="22"/>
        </w:rPr>
        <w:t xml:space="preserve">The stock surged ~54% from the Q1 earnings close ($66.78) to a peak of ~$141 in late June before pulling back to ~$103 today, meaning the multiple has expanded significantly and the stock is no longer pricing in a miss — but it is also not pricing in a blowout, leaving a clean beat-and-raise as the path to further upside. </w:t>
      </w:r>
      <w:r>
        <w:rPr>
          <w:rFonts w:ascii="Calibri" w:hAnsi="Calibri"/>
          <w:color w:val="525866"/>
          <w:sz w:val="22"/>
        </w:rPr>
        <w:t xml:space="preserve">The key wildcard is </w:t>
      </w:r>
      <w:r>
        <w:rPr>
          <w:rFonts w:ascii="Calibri" w:hAnsi="Calibri"/>
          <w:b/>
          <w:color w:val="525866"/>
          <w:sz w:val="22"/>
        </w:rPr>
        <w:t>Q3 gross margin guidance</w:t>
      </w:r>
      <w:r>
        <w:rPr>
          <w:rFonts w:ascii="Calibri" w:hAnsi="Calibri"/>
          <w:color w:val="525866"/>
          <w:sz w:val="22"/>
        </w:rPr>
        <w:t>: management flagged rising memory and substrate input costs as a growing second-half headwind, and if Q3 gross margin guidance comes in below the ~39% Q2 level, the stock could give back gains even on a clean Q2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and EPS sit near guidance midpoints, leaving room for a beat if supply execution holds; </w:t>
      </w:r>
      <w:r>
        <w:rPr>
          <w:rFonts w:ascii="Calibri" w:hAnsi="Calibri"/>
          <w:b/>
          <w:color w:val="525866"/>
          <w:sz w:val="22"/>
        </w:rPr>
        <w:t>DCAI revenue is the bigger swing factor</w:t>
      </w:r>
      <w:r>
        <w:rPr>
          <w:rFonts w:ascii="Calibri" w:hAnsi="Calibri"/>
          <w:color w:val="525866"/>
          <w:sz w:val="22"/>
        </w:rPr>
        <w:t xml:space="preserve"> given its double-digit sequential growth guide and the structural tailwind from agentic AI CPU demand confirmed by every major peer.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($B)</w:t>
            </w:r>
          </w:p>
        </w:tc>
        <w:tc>
          <w:tcPr>
            <w:tcW w:type="dxa" w:w="1234"/>
          </w:tcPr>
          <w:p>
            <w:r>
              <w:rPr>
                <w:rFonts w:ascii="Calibri" w:hAnsi="Calibri"/>
                <w:sz w:val="22"/>
              </w:rPr>
              <w:t>$13.58B</w:t>
            </w:r>
          </w:p>
        </w:tc>
        <w:tc>
          <w:tcPr>
            <w:tcW w:type="dxa" w:w="1234"/>
          </w:tcPr>
          <w:p>
            <w:r>
              <w:rPr>
                <w:rFonts w:ascii="Calibri" w:hAnsi="Calibri"/>
                <w:sz w:val="22"/>
              </w:rPr>
              <w:t>$12.86B</w:t>
            </w:r>
          </w:p>
        </w:tc>
        <w:tc>
          <w:tcPr>
            <w:tcW w:type="dxa" w:w="1234"/>
          </w:tcPr>
          <w:p>
            <w:r>
              <w:rPr>
                <w:rFonts w:ascii="Calibri" w:hAnsi="Calibri"/>
                <w:sz w:val="22"/>
              </w:rPr>
              <w:t>$14.43B</w:t>
            </w:r>
          </w:p>
        </w:tc>
        <w:tc>
          <w:tcPr>
            <w:tcW w:type="dxa" w:w="1234"/>
          </w:tcPr>
          <w:p>
            <w:r>
              <w:rPr>
                <w:rFonts w:ascii="Calibri" w:hAnsi="Calibri"/>
                <w:sz w:val="22"/>
              </w:rPr>
              <w:t>+12.2% YoY</w:t>
            </w:r>
          </w:p>
        </w:tc>
        <w:tc>
          <w:tcPr>
            <w:tcW w:type="dxa" w:w="1234"/>
          </w:tcPr>
          <w:p>
            <w:r>
              <w:rPr>
                <w:rFonts w:ascii="Calibri" w:hAnsi="Calibri"/>
                <w:sz w:val="22"/>
              </w:rPr>
              <w:t>$14.30B</w:t>
            </w:r>
          </w:p>
        </w:tc>
        <w:tc>
          <w:tcPr>
            <w:tcW w:type="dxa" w:w="1234"/>
          </w:tcPr>
          <w:p>
            <w:r>
              <w:rPr>
                <w:rFonts w:ascii="Calibri" w:hAnsi="Calibri"/>
                <w:sz w:val="22"/>
              </w:rPr>
              <w:t>+0.9%</w:t>
            </w:r>
          </w:p>
        </w:tc>
      </w:tr>
      <w:tr>
        <w:tc>
          <w:tcPr>
            <w:tcW w:type="dxa" w:w="1234"/>
          </w:tcPr>
          <w:p>
            <w:r>
              <w:rPr>
                <w:rFonts w:ascii="Calibri" w:hAnsi="Calibri"/>
                <w:sz w:val="22"/>
              </w:rPr>
              <w:t>Non-GAAP Gross Margin (%)</w:t>
            </w:r>
          </w:p>
        </w:tc>
        <w:tc>
          <w:tcPr>
            <w:tcW w:type="dxa" w:w="1234"/>
          </w:tcPr>
          <w:p>
            <w:r>
              <w:rPr>
                <w:rFonts w:ascii="Calibri" w:hAnsi="Calibri"/>
                <w:sz w:val="22"/>
              </w:rPr>
              <w:t>~41% (low 40s)</w:t>
            </w:r>
          </w:p>
        </w:tc>
        <w:tc>
          <w:tcPr>
            <w:tcW w:type="dxa" w:w="1234"/>
          </w:tcPr>
          <w:p>
            <w:r>
              <w:rPr>
                <w:rFonts w:ascii="Calibri" w:hAnsi="Calibri"/>
                <w:sz w:val="22"/>
              </w:rPr>
              <w:t>~29.7% (est.)</w:t>
            </w:r>
          </w:p>
        </w:tc>
        <w:tc>
          <w:tcPr>
            <w:tcW w:type="dxa" w:w="1234"/>
          </w:tcPr>
          <w:p>
            <w:r>
              <w:rPr>
                <w:rFonts w:ascii="Calibri" w:hAnsi="Calibri"/>
                <w:sz w:val="22"/>
              </w:rPr>
              <w:t>~39.3%</w:t>
            </w:r>
          </w:p>
        </w:tc>
        <w:tc>
          <w:tcPr>
            <w:tcW w:type="dxa" w:w="1234"/>
          </w:tcPr>
          <w:p>
            <w:r>
              <w:rPr>
                <w:rFonts w:ascii="Calibri" w:hAnsi="Calibri"/>
                <w:sz w:val="22"/>
              </w:rPr>
              <w:t>+~960 bps YoY</w:t>
            </w:r>
          </w:p>
        </w:tc>
        <w:tc>
          <w:tcPr>
            <w:tcW w:type="dxa" w:w="1234"/>
          </w:tcPr>
          <w:p>
            <w:r>
              <w:rPr>
                <w:rFonts w:ascii="Calibri" w:hAnsi="Calibri"/>
                <w:sz w:val="22"/>
              </w:rPr>
              <w:t>39%</w:t>
            </w:r>
          </w:p>
        </w:tc>
        <w:tc>
          <w:tcPr>
            <w:tcW w:type="dxa" w:w="1234"/>
          </w:tcPr>
          <w:p>
            <w:r>
              <w:rPr>
                <w:rFonts w:ascii="Calibri" w:hAnsi="Calibri"/>
                <w:sz w:val="22"/>
              </w:rPr>
              <w:t>+0.3 pts</w:t>
            </w:r>
          </w:p>
        </w:tc>
      </w:tr>
      <w:tr>
        <w:tc>
          <w:tcPr>
            <w:tcW w:type="dxa" w:w="1234"/>
          </w:tcPr>
          <w:p>
            <w:r>
              <w:rPr>
                <w:rFonts w:ascii="Calibri" w:hAnsi="Calibri"/>
                <w:sz w:val="22"/>
              </w:rPr>
              <w:t>Non-GAAP EPS (Diluted)</w:t>
            </w:r>
          </w:p>
        </w:tc>
        <w:tc>
          <w:tcPr>
            <w:tcW w:type="dxa" w:w="1234"/>
          </w:tcPr>
          <w:p>
            <w:r>
              <w:rPr>
                <w:rFonts w:ascii="Calibri" w:hAnsi="Calibri"/>
                <w:sz w:val="22"/>
              </w:rPr>
              <w:t>$0.29</w:t>
            </w:r>
          </w:p>
        </w:tc>
        <w:tc>
          <w:tcPr>
            <w:tcW w:type="dxa" w:w="1234"/>
          </w:tcPr>
          <w:p>
            <w:r>
              <w:rPr>
                <w:rFonts w:ascii="Calibri" w:hAnsi="Calibri"/>
                <w:sz w:val="22"/>
              </w:rPr>
              <w:t>-$0.10</w:t>
            </w:r>
          </w:p>
        </w:tc>
        <w:tc>
          <w:tcPr>
            <w:tcW w:type="dxa" w:w="1234"/>
          </w:tcPr>
          <w:p>
            <w:r>
              <w:rPr>
                <w:rFonts w:ascii="Calibri" w:hAnsi="Calibri"/>
                <w:sz w:val="22"/>
              </w:rPr>
              <w:t>$0.22</w:t>
            </w:r>
          </w:p>
        </w:tc>
        <w:tc>
          <w:tcPr>
            <w:tcW w:type="dxa" w:w="1234"/>
          </w:tcPr>
          <w:p>
            <w:r>
              <w:rPr>
                <w:rFonts w:ascii="Calibri" w:hAnsi="Calibri"/>
                <w:sz w:val="22"/>
              </w:rPr>
              <w:t>N/M (prior year loss)</w:t>
            </w:r>
          </w:p>
        </w:tc>
        <w:tc>
          <w:tcPr>
            <w:tcW w:type="dxa" w:w="1234"/>
          </w:tcPr>
          <w:p>
            <w:r>
              <w:rPr>
                <w:rFonts w:ascii="Calibri" w:hAnsi="Calibri"/>
                <w:sz w:val="22"/>
              </w:rPr>
              <w:t>$0.20</w:t>
            </w:r>
          </w:p>
        </w:tc>
        <w:tc>
          <w:tcPr>
            <w:tcW w:type="dxa" w:w="1234"/>
          </w:tcPr>
          <w:p>
            <w:r>
              <w:rPr>
                <w:rFonts w:ascii="Calibri" w:hAnsi="Calibri"/>
                <w:sz w:val="22"/>
              </w:rPr>
              <w:t>+10.0%</w:t>
            </w:r>
          </w:p>
        </w:tc>
      </w:tr>
      <w:tr>
        <w:tc>
          <w:tcPr>
            <w:tcW w:type="dxa" w:w="1234"/>
          </w:tcPr>
          <w:p>
            <w:r>
              <w:rPr>
                <w:rFonts w:ascii="Calibri" w:hAnsi="Calibri"/>
                <w:sz w:val="22"/>
              </w:rPr>
              <w:t>CCG Revenue ($B)</w:t>
            </w:r>
          </w:p>
        </w:tc>
        <w:tc>
          <w:tcPr>
            <w:tcW w:type="dxa" w:w="1234"/>
          </w:tcPr>
          <w:p>
            <w:r>
              <w:rPr>
                <w:rFonts w:ascii="Calibri" w:hAnsi="Calibri"/>
                <w:sz w:val="22"/>
              </w:rPr>
              <w:t>$7.73B</w:t>
            </w:r>
          </w:p>
        </w:tc>
        <w:tc>
          <w:tcPr>
            <w:tcW w:type="dxa" w:w="1234"/>
          </w:tcPr>
          <w:p>
            <w:r>
              <w:rPr>
                <w:rFonts w:ascii="Calibri" w:hAnsi="Calibri"/>
                <w:sz w:val="22"/>
              </w:rPr>
              <w:t>$7.87B</w:t>
            </w:r>
          </w:p>
        </w:tc>
        <w:tc>
          <w:tcPr>
            <w:tcW w:type="dxa" w:w="1234"/>
          </w:tcPr>
          <w:p>
            <w:r>
              <w:rPr>
                <w:rFonts w:ascii="Calibri" w:hAnsi="Calibri"/>
                <w:sz w:val="22"/>
              </w:rPr>
              <w:t>$7.97B</w:t>
            </w:r>
          </w:p>
        </w:tc>
        <w:tc>
          <w:tcPr>
            <w:tcW w:type="dxa" w:w="1234"/>
          </w:tcPr>
          <w:p>
            <w:r>
              <w:rPr>
                <w:rFonts w:ascii="Calibri" w:hAnsi="Calibri"/>
                <w:sz w:val="22"/>
              </w:rPr>
              <w:t>+1.3% YoY</w:t>
            </w:r>
          </w:p>
        </w:tc>
        <w:tc>
          <w:tcPr>
            <w:tcW w:type="dxa" w:w="1234"/>
          </w:tcPr>
          <w:p>
            <w:r>
              <w:rPr>
                <w:rFonts w:ascii="Calibri" w:hAnsi="Calibri"/>
                <w:sz w:val="22"/>
              </w:rPr>
              <w:t>Sequential growth guided</w:t>
            </w:r>
          </w:p>
        </w:tc>
        <w:tc>
          <w:tcPr>
            <w:tcW w:type="dxa" w:w="1234"/>
          </w:tcPr>
          <w:p>
            <w:r>
              <w:rPr>
                <w:rFonts w:ascii="Calibri" w:hAnsi="Calibri"/>
                <w:sz w:val="22"/>
              </w:rPr>
              <w:t>N/A</w:t>
            </w:r>
          </w:p>
        </w:tc>
      </w:tr>
      <w:tr>
        <w:tc>
          <w:tcPr>
            <w:tcW w:type="dxa" w:w="1234"/>
          </w:tcPr>
          <w:p>
            <w:r>
              <w:rPr>
                <w:rFonts w:ascii="Calibri" w:hAnsi="Calibri"/>
                <w:sz w:val="22"/>
              </w:rPr>
              <w:t>DCAI Revenue ($B)</w:t>
            </w:r>
          </w:p>
        </w:tc>
        <w:tc>
          <w:tcPr>
            <w:tcW w:type="dxa" w:w="1234"/>
          </w:tcPr>
          <w:p>
            <w:r>
              <w:rPr>
                <w:rFonts w:ascii="Calibri" w:hAnsi="Calibri"/>
                <w:sz w:val="22"/>
              </w:rPr>
              <w:t>$5.10B</w:t>
            </w:r>
          </w:p>
        </w:tc>
        <w:tc>
          <w:tcPr>
            <w:tcW w:type="dxa" w:w="1234"/>
          </w:tcPr>
          <w:p>
            <w:r>
              <w:rPr>
                <w:rFonts w:ascii="Calibri" w:hAnsi="Calibri"/>
                <w:sz w:val="22"/>
              </w:rPr>
              <w:t>$3.90B</w:t>
            </w:r>
          </w:p>
        </w:tc>
        <w:tc>
          <w:tcPr>
            <w:tcW w:type="dxa" w:w="1234"/>
          </w:tcPr>
          <w:p>
            <w:r>
              <w:rPr>
                <w:rFonts w:ascii="Calibri" w:hAnsi="Calibri"/>
                <w:sz w:val="22"/>
              </w:rPr>
              <w:t>$4.10B (est.)</w:t>
            </w:r>
          </w:p>
        </w:tc>
        <w:tc>
          <w:tcPr>
            <w:tcW w:type="dxa" w:w="1234"/>
          </w:tcPr>
          <w:p>
            <w:r>
              <w:rPr>
                <w:rFonts w:ascii="Calibri" w:hAnsi="Calibri"/>
                <w:sz w:val="22"/>
              </w:rPr>
              <w:t>+5.1% YoY</w:t>
            </w:r>
          </w:p>
        </w:tc>
        <w:tc>
          <w:tcPr>
            <w:tcW w:type="dxa" w:w="1234"/>
          </w:tcPr>
          <w:p>
            <w:r>
              <w:rPr>
                <w:rFonts w:ascii="Calibri" w:hAnsi="Calibri"/>
                <w:sz w:val="22"/>
              </w:rPr>
              <w:t>Up double-digits seq.</w:t>
            </w:r>
          </w:p>
        </w:tc>
        <w:tc>
          <w:tcPr>
            <w:tcW w:type="dxa" w:w="1234"/>
          </w:tcPr>
          <w:p>
            <w:r>
              <w:rPr>
                <w:rFonts w:ascii="Calibri" w:hAnsi="Calibri"/>
                <w:sz w:val="22"/>
              </w:rPr>
              <w:t>N/A</w:t>
            </w:r>
          </w:p>
        </w:tc>
      </w:tr>
      <w:tr>
        <w:tc>
          <w:tcPr>
            <w:tcW w:type="dxa" w:w="1234"/>
          </w:tcPr>
          <w:p>
            <w:r>
              <w:rPr>
                <w:rFonts w:ascii="Calibri" w:hAnsi="Calibri"/>
                <w:sz w:val="22"/>
              </w:rPr>
              <w:t>Non-GAAP Operating Income ($B)</w:t>
            </w:r>
          </w:p>
        </w:tc>
        <w:tc>
          <w:tcPr>
            <w:tcW w:type="dxa" w:w="1234"/>
          </w:tcPr>
          <w:p>
            <w:r>
              <w:rPr>
                <w:rFonts w:ascii="Calibri" w:hAnsi="Calibri"/>
                <w:sz w:val="22"/>
              </w:rPr>
              <w:t>$1.67B</w:t>
            </w:r>
          </w:p>
        </w:tc>
        <w:tc>
          <w:tcPr>
            <w:tcW w:type="dxa" w:w="1234"/>
          </w:tcPr>
          <w:p>
            <w:r>
              <w:rPr>
                <w:rFonts w:ascii="Calibri" w:hAnsi="Calibri"/>
                <w:sz w:val="22"/>
              </w:rPr>
              <w:t>-$0.50B</w:t>
            </w:r>
          </w:p>
        </w:tc>
        <w:tc>
          <w:tcPr>
            <w:tcW w:type="dxa" w:w="1234"/>
          </w:tcPr>
          <w:p>
            <w:r>
              <w:rPr>
                <w:rFonts w:ascii="Calibri" w:hAnsi="Calibri"/>
                <w:sz w:val="22"/>
              </w:rPr>
              <w:t>$1.62B</w:t>
            </w:r>
          </w:p>
        </w:tc>
        <w:tc>
          <w:tcPr>
            <w:tcW w:type="dxa" w:w="1234"/>
          </w:tcPr>
          <w:p>
            <w:r>
              <w:rPr>
                <w:rFonts w:ascii="Calibri" w:hAnsi="Calibri"/>
                <w:sz w:val="22"/>
              </w:rPr>
              <w:t>N/M (prior year loss)</w:t>
            </w:r>
          </w:p>
        </w:tc>
        <w:tc>
          <w:tcPr>
            <w:tcW w:type="dxa" w:w="1234"/>
          </w:tcPr>
          <w:p>
            <w:r>
              <w:rPr>
                <w:rFonts w:ascii="Calibri" w:hAnsi="Calibri"/>
                <w:sz w:val="22"/>
              </w:rPr>
              <w:t>~$1.5B (implied)</w:t>
            </w:r>
          </w:p>
        </w:tc>
        <w:tc>
          <w:tcPr>
            <w:tcW w:type="dxa" w:w="1234"/>
          </w:tcPr>
          <w:p>
            <w:r>
              <w:rPr>
                <w:rFonts w:ascii="Calibri" w:hAnsi="Calibri"/>
                <w:sz w:val="22"/>
              </w:rPr>
              <w:t>+7.8%</w:t>
            </w:r>
          </w:p>
        </w:tc>
      </w:tr>
      <w:tr>
        <w:tc>
          <w:tcPr>
            <w:tcW w:type="dxa" w:w="1234"/>
          </w:tcPr>
          <w:p>
            <w:r>
              <w:rPr>
                <w:rFonts w:ascii="Calibri" w:hAnsi="Calibri"/>
                <w:sz w:val="22"/>
              </w:rPr>
              <w:t>CapEx / PP&amp;E Additions ($B)</w:t>
            </w:r>
          </w:p>
        </w:tc>
        <w:tc>
          <w:tcPr>
            <w:tcW w:type="dxa" w:w="1234"/>
          </w:tcPr>
          <w:p>
            <w:r>
              <w:rPr>
                <w:rFonts w:ascii="Calibri" w:hAnsi="Calibri"/>
                <w:sz w:val="22"/>
              </w:rPr>
              <w:t>$3.64B</w:t>
            </w:r>
          </w:p>
        </w:tc>
        <w:tc>
          <w:tcPr>
            <w:tcW w:type="dxa" w:w="1234"/>
          </w:tcPr>
          <w:p>
            <w:r>
              <w:rPr>
                <w:rFonts w:ascii="Calibri" w:hAnsi="Calibri"/>
                <w:sz w:val="22"/>
              </w:rPr>
              <w:t>$3.55B</w:t>
            </w:r>
          </w:p>
        </w:tc>
        <w:tc>
          <w:tcPr>
            <w:tcW w:type="dxa" w:w="1234"/>
          </w:tcPr>
          <w:p>
            <w:r>
              <w:rPr>
                <w:rFonts w:ascii="Calibri" w:hAnsi="Calibri"/>
                <w:sz w:val="22"/>
              </w:rPr>
              <w:t>$3.96B</w:t>
            </w:r>
          </w:p>
        </w:tc>
        <w:tc>
          <w:tcPr>
            <w:tcW w:type="dxa" w:w="1234"/>
          </w:tcPr>
          <w:p>
            <w:r>
              <w:rPr>
                <w:rFonts w:ascii="Calibri" w:hAnsi="Calibri"/>
                <w:sz w:val="22"/>
              </w:rPr>
              <w:t>+11.5% YoY</w:t>
            </w:r>
          </w:p>
        </w:tc>
        <w:tc>
          <w:tcPr>
            <w:tcW w:type="dxa" w:w="1234"/>
          </w:tcPr>
          <w:p>
            <w:r>
              <w:rPr>
                <w:rFonts w:ascii="Calibri" w:hAnsi="Calibri"/>
                <w:sz w:val="22"/>
              </w:rPr>
              <w:t>Flat to up YoY (FY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DCAI Q2 2026 consensus estimate reflects company-reported actuals for prior periods; VA consensus for Q2 2026 DCAI incl. Altera shown as $4.10B (est.) based on VA data. Non-GAAP gross margin consensus derived from VA Gross profit/(loss) - Operating consensus of $5.66B on $14.43B revenue. Non-GAAP EPS from VA EPS attributable to common shareholders - Diluted - Operating($) consensus of $0.223.</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Revenue Beat/Miss History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$13.58B</w:t>
            </w:r>
          </w:p>
        </w:tc>
        <w:tc>
          <w:tcPr>
            <w:tcW w:type="dxa" w:w="1728"/>
          </w:tcPr>
          <w:p>
            <w:r>
              <w:rPr>
                <w:rFonts w:ascii="Calibri" w:hAnsi="Calibri"/>
                <w:sz w:val="22"/>
              </w:rPr>
              <w:t>$12.39B</w:t>
            </w:r>
          </w:p>
        </w:tc>
        <w:tc>
          <w:tcPr>
            <w:tcW w:type="dxa" w:w="1728"/>
          </w:tcPr>
          <w:p>
            <w:r>
              <w:rPr>
                <w:rFonts w:ascii="Calibri" w:hAnsi="Calibri"/>
                <w:b/>
                <w:color w:val="30A46C"/>
                <w:sz w:val="22"/>
              </w:rPr>
              <w:t>+9.6%</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$13.67B</w:t>
            </w:r>
          </w:p>
        </w:tc>
        <w:tc>
          <w:tcPr>
            <w:tcW w:type="dxa" w:w="1728"/>
          </w:tcPr>
          <w:p>
            <w:r>
              <w:rPr>
                <w:rFonts w:ascii="Calibri" w:hAnsi="Calibri"/>
                <w:sz w:val="22"/>
              </w:rPr>
              <w:t>$13.41B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$13.65B</w:t>
            </w:r>
          </w:p>
        </w:tc>
        <w:tc>
          <w:tcPr>
            <w:tcW w:type="dxa" w:w="1728"/>
          </w:tcPr>
          <w:p>
            <w:r>
              <w:rPr>
                <w:rFonts w:ascii="Calibri" w:hAnsi="Calibri"/>
                <w:sz w:val="22"/>
              </w:rPr>
              <w:t>$13.17B</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$12.86B</w:t>
            </w:r>
          </w:p>
        </w:tc>
        <w:tc>
          <w:tcPr>
            <w:tcW w:type="dxa" w:w="1728"/>
          </w:tcPr>
          <w:p>
            <w:r>
              <w:rPr>
                <w:rFonts w:ascii="Calibri" w:hAnsi="Calibri"/>
                <w:sz w:val="22"/>
              </w:rPr>
              <w:t>$11.93B</w:t>
            </w:r>
          </w:p>
        </w:tc>
        <w:tc>
          <w:tcPr>
            <w:tcW w:type="dxa" w:w="1728"/>
          </w:tcPr>
          <w:p>
            <w:r>
              <w:rPr>
                <w:rFonts w:ascii="Calibri" w:hAnsi="Calibri"/>
                <w:b/>
                <w:color w:val="30A46C"/>
                <w:sz w:val="22"/>
              </w:rPr>
              <w:t>+7.8%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$12.67B</w:t>
            </w:r>
          </w:p>
        </w:tc>
        <w:tc>
          <w:tcPr>
            <w:tcW w:type="dxa" w:w="1728"/>
          </w:tcPr>
          <w:p>
            <w:r>
              <w:rPr>
                <w:rFonts w:ascii="Calibri" w:hAnsi="Calibri"/>
                <w:sz w:val="22"/>
              </w:rPr>
              <w:t>$12.34B</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$14.26B</w:t>
            </w:r>
          </w:p>
        </w:tc>
        <w:tc>
          <w:tcPr>
            <w:tcW w:type="dxa" w:w="1728"/>
          </w:tcPr>
          <w:p>
            <w:r>
              <w:rPr>
                <w:rFonts w:ascii="Calibri" w:hAnsi="Calibri"/>
                <w:sz w:val="22"/>
              </w:rPr>
              <w:t>$13.80B</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$13.28B</w:t>
            </w:r>
          </w:p>
        </w:tc>
        <w:tc>
          <w:tcPr>
            <w:tcW w:type="dxa" w:w="1728"/>
          </w:tcPr>
          <w:p>
            <w:r>
              <w:rPr>
                <w:rFonts w:ascii="Calibri" w:hAnsi="Calibri"/>
                <w:sz w:val="22"/>
              </w:rPr>
              <w:t>$13.03B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$12.83B</w:t>
            </w:r>
          </w:p>
        </w:tc>
        <w:tc>
          <w:tcPr>
            <w:tcW w:type="dxa" w:w="1728"/>
          </w:tcPr>
          <w:p>
            <w:r>
              <w:rPr>
                <w:rFonts w:ascii="Calibri" w:hAnsi="Calibri"/>
                <w:sz w:val="22"/>
              </w:rPr>
              <w:t>$12.94B</w:t>
            </w:r>
          </w:p>
        </w:tc>
        <w:tc>
          <w:tcPr>
            <w:tcW w:type="dxa" w:w="1728"/>
          </w:tcPr>
          <w:p>
            <w:r>
              <w:rPr>
                <w:rFonts w:ascii="Calibri" w:hAnsi="Calibri"/>
                <w:b/>
                <w:color w:val="E5484D"/>
                <w:sz w:val="22"/>
              </w:rPr>
              <w:t>-0.8%</w:t>
            </w:r>
          </w:p>
        </w:tc>
        <w:tc>
          <w:tcPr>
            <w:tcW w:type="dxa" w:w="1728"/>
          </w:tcPr>
          <w:p>
            <w:r>
              <w:rPr>
                <w:rFonts w:ascii="Calibri" w:hAnsi="Calibri"/>
                <w:sz w:val="22"/>
              </w:rPr>
              <w:t>MISS</w:t>
            </w:r>
          </w:p>
        </w:tc>
      </w:tr>
    </w:tbl>
    <w:p>
      <w:pPr>
        <w:pStyle w:val="Heading4"/>
      </w:pPr>
      <w:r>
        <w:rPr>
          <w:rFonts w:ascii="Calibri" w:hAnsi="Calibri"/>
          <w:b/>
          <w:color w:val="3B4259"/>
          <w:sz w:val="22"/>
        </w:rPr>
        <w:t>Non-GAAP EPS (Diluted) Beat/Miss History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$0.29</w:t>
            </w:r>
          </w:p>
        </w:tc>
        <w:tc>
          <w:tcPr>
            <w:tcW w:type="dxa" w:w="1728"/>
          </w:tcPr>
          <w:p>
            <w:r>
              <w:rPr>
                <w:rFonts w:ascii="Calibri" w:hAnsi="Calibri"/>
                <w:sz w:val="22"/>
              </w:rPr>
              <w:t>$0.016</w:t>
            </w:r>
          </w:p>
        </w:tc>
        <w:tc>
          <w:tcPr>
            <w:tcW w:type="dxa" w:w="1728"/>
          </w:tcPr>
          <w:p>
            <w:r>
              <w:rPr>
                <w:rFonts w:ascii="Calibri" w:hAnsi="Calibri"/>
                <w:b/>
                <w:color w:val="30A46C"/>
                <w:sz w:val="22"/>
              </w:rPr>
              <w:t>+1,713%</w:t>
            </w:r>
          </w:p>
        </w:tc>
        <w:tc>
          <w:tcPr>
            <w:tcW w:type="dxa" w:w="1728"/>
          </w:tcPr>
          <w:p>
            <w:r>
              <w:rPr>
                <w:rFonts w:ascii="Calibri" w:hAnsi="Calibri"/>
                <w:sz w:val="22"/>
              </w:rPr>
              <w:t>MASSIVE BEAT</w:t>
            </w:r>
          </w:p>
        </w:tc>
      </w:tr>
      <w:tr>
        <w:tc>
          <w:tcPr>
            <w:tcW w:type="dxa" w:w="1728"/>
          </w:tcPr>
          <w:p>
            <w:r>
              <w:rPr>
                <w:rFonts w:ascii="Calibri" w:hAnsi="Calibri"/>
                <w:sz w:val="22"/>
              </w:rPr>
              <w:t>Q4 2025</w:t>
            </w:r>
          </w:p>
        </w:tc>
        <w:tc>
          <w:tcPr>
            <w:tcW w:type="dxa" w:w="1728"/>
          </w:tcPr>
          <w:p>
            <w:r>
              <w:rPr>
                <w:rFonts w:ascii="Calibri" w:hAnsi="Calibri"/>
                <w:sz w:val="22"/>
              </w:rPr>
              <w:t>$0.15</w:t>
            </w:r>
          </w:p>
        </w:tc>
        <w:tc>
          <w:tcPr>
            <w:tcW w:type="dxa" w:w="1728"/>
          </w:tcPr>
          <w:p>
            <w:r>
              <w:rPr>
                <w:rFonts w:ascii="Calibri" w:hAnsi="Calibri"/>
                <w:sz w:val="22"/>
              </w:rPr>
              <w:t>$0.086</w:t>
            </w:r>
          </w:p>
        </w:tc>
        <w:tc>
          <w:tcPr>
            <w:tcW w:type="dxa" w:w="1728"/>
          </w:tcPr>
          <w:p>
            <w:r>
              <w:rPr>
                <w:rFonts w:ascii="Calibri" w:hAnsi="Calibri"/>
                <w:b/>
                <w:color w:val="30A46C"/>
                <w:sz w:val="22"/>
              </w:rPr>
              <w:t>+74.4%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$0.23</w:t>
            </w:r>
          </w:p>
        </w:tc>
        <w:tc>
          <w:tcPr>
            <w:tcW w:type="dxa" w:w="1728"/>
          </w:tcPr>
          <w:p>
            <w:r>
              <w:rPr>
                <w:rFonts w:ascii="Calibri" w:hAnsi="Calibri"/>
                <w:sz w:val="22"/>
              </w:rPr>
              <w:t>$0.023</w:t>
            </w:r>
          </w:p>
        </w:tc>
        <w:tc>
          <w:tcPr>
            <w:tcW w:type="dxa" w:w="1728"/>
          </w:tcPr>
          <w:p>
            <w:r>
              <w:rPr>
                <w:rFonts w:ascii="Calibri" w:hAnsi="Calibri"/>
                <w:b/>
                <w:color w:val="30A46C"/>
                <w:sz w:val="22"/>
              </w:rPr>
              <w:t>+900%</w:t>
            </w:r>
          </w:p>
        </w:tc>
        <w:tc>
          <w:tcPr>
            <w:tcW w:type="dxa" w:w="1728"/>
          </w:tcPr>
          <w:p>
            <w:r>
              <w:rPr>
                <w:rFonts w:ascii="Calibri" w:hAnsi="Calibri"/>
                <w:sz w:val="22"/>
              </w:rPr>
              <w:t>MASSIVE BEAT</w:t>
            </w:r>
          </w:p>
        </w:tc>
      </w:tr>
      <w:tr>
        <w:tc>
          <w:tcPr>
            <w:tcW w:type="dxa" w:w="1728"/>
          </w:tcPr>
          <w:p>
            <w:r>
              <w:rPr>
                <w:rFonts w:ascii="Calibri" w:hAnsi="Calibri"/>
                <w:sz w:val="22"/>
              </w:rPr>
              <w:t>Q2 2025</w:t>
            </w:r>
          </w:p>
        </w:tc>
        <w:tc>
          <w:tcPr>
            <w:tcW w:type="dxa" w:w="1728"/>
          </w:tcPr>
          <w:p>
            <w:r>
              <w:rPr>
                <w:rFonts w:ascii="Calibri" w:hAnsi="Calibri"/>
                <w:sz w:val="22"/>
              </w:rPr>
              <w:t>-$0.10</w:t>
            </w:r>
          </w:p>
        </w:tc>
        <w:tc>
          <w:tcPr>
            <w:tcW w:type="dxa" w:w="1728"/>
          </w:tcPr>
          <w:p>
            <w:r>
              <w:rPr>
                <w:rFonts w:ascii="Calibri" w:hAnsi="Calibri"/>
                <w:sz w:val="22"/>
              </w:rPr>
              <w:t>$0.020</w:t>
            </w:r>
          </w:p>
        </w:tc>
        <w:tc>
          <w:tcPr>
            <w:tcW w:type="dxa" w:w="1728"/>
          </w:tcPr>
          <w:p>
            <w:r>
              <w:rPr>
                <w:rFonts w:ascii="Calibri" w:hAnsi="Calibri"/>
                <w:b/>
                <w:color w:val="E5484D"/>
                <w:sz w:val="22"/>
              </w:rPr>
              <w:t>N/M</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$0.13</w:t>
            </w:r>
          </w:p>
        </w:tc>
        <w:tc>
          <w:tcPr>
            <w:tcW w:type="dxa" w:w="1728"/>
          </w:tcPr>
          <w:p>
            <w:r>
              <w:rPr>
                <w:rFonts w:ascii="Calibri" w:hAnsi="Calibri"/>
                <w:sz w:val="22"/>
              </w:rPr>
              <w:t>$0.011</w:t>
            </w:r>
          </w:p>
        </w:tc>
        <w:tc>
          <w:tcPr>
            <w:tcW w:type="dxa" w:w="1728"/>
          </w:tcPr>
          <w:p>
            <w:r>
              <w:rPr>
                <w:rFonts w:ascii="Calibri" w:hAnsi="Calibri"/>
                <w:b/>
                <w:color w:val="30A46C"/>
                <w:sz w:val="22"/>
              </w:rPr>
              <w:t>+1,082%</w:t>
            </w:r>
          </w:p>
        </w:tc>
        <w:tc>
          <w:tcPr>
            <w:tcW w:type="dxa" w:w="1728"/>
          </w:tcPr>
          <w:p>
            <w:r>
              <w:rPr>
                <w:rFonts w:ascii="Calibri" w:hAnsi="Calibri"/>
                <w:sz w:val="22"/>
              </w:rPr>
              <w:t>MASSIVE BEAT</w:t>
            </w:r>
          </w:p>
        </w:tc>
      </w:tr>
      <w:tr>
        <w:tc>
          <w:tcPr>
            <w:tcW w:type="dxa" w:w="1728"/>
          </w:tcPr>
          <w:p>
            <w:r>
              <w:rPr>
                <w:rFonts w:ascii="Calibri" w:hAnsi="Calibri"/>
                <w:sz w:val="22"/>
              </w:rPr>
              <w:t>Q4 2024</w:t>
            </w:r>
          </w:p>
        </w:tc>
        <w:tc>
          <w:tcPr>
            <w:tcW w:type="dxa" w:w="1728"/>
          </w:tcPr>
          <w:p>
            <w:r>
              <w:rPr>
                <w:rFonts w:ascii="Calibri" w:hAnsi="Calibri"/>
                <w:sz w:val="22"/>
              </w:rPr>
              <w:t>$0.13</w:t>
            </w:r>
          </w:p>
        </w:tc>
        <w:tc>
          <w:tcPr>
            <w:tcW w:type="dxa" w:w="1728"/>
          </w:tcPr>
          <w:p>
            <w:r>
              <w:rPr>
                <w:rFonts w:ascii="Calibri" w:hAnsi="Calibri"/>
                <w:sz w:val="22"/>
              </w:rPr>
              <w:t>$0.126</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-$0.46</w:t>
            </w:r>
          </w:p>
        </w:tc>
        <w:tc>
          <w:tcPr>
            <w:tcW w:type="dxa" w:w="1728"/>
          </w:tcPr>
          <w:p>
            <w:r>
              <w:rPr>
                <w:rFonts w:ascii="Calibri" w:hAnsi="Calibri"/>
                <w:sz w:val="22"/>
              </w:rPr>
              <w:t>-$0.022</w:t>
            </w:r>
          </w:p>
        </w:tc>
        <w:tc>
          <w:tcPr>
            <w:tcW w:type="dxa" w:w="1728"/>
          </w:tcPr>
          <w:p>
            <w:r>
              <w:rPr>
                <w:rFonts w:ascii="Calibri" w:hAnsi="Calibri"/>
                <w:b/>
                <w:color w:val="E5484D"/>
                <w:sz w:val="22"/>
              </w:rPr>
              <w:t>N/M</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$0.02</w:t>
            </w:r>
          </w:p>
        </w:tc>
        <w:tc>
          <w:tcPr>
            <w:tcW w:type="dxa" w:w="1728"/>
          </w:tcPr>
          <w:p>
            <w:r>
              <w:rPr>
                <w:rFonts w:ascii="Calibri" w:hAnsi="Calibri"/>
                <w:sz w:val="22"/>
              </w:rPr>
              <w:t>$0.105</w:t>
            </w:r>
          </w:p>
        </w:tc>
        <w:tc>
          <w:tcPr>
            <w:tcW w:type="dxa" w:w="1728"/>
          </w:tcPr>
          <w:p>
            <w:r>
              <w:rPr>
                <w:rFonts w:ascii="Calibri" w:hAnsi="Calibri"/>
                <w:b/>
                <w:color w:val="E5484D"/>
                <w:sz w:val="22"/>
              </w:rPr>
              <w:t>-81.0%</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Intel has beaten revenue consensus in 7 of the last 8 quarters; EPS beats have been dramatic in magnitude since Q1 2025 as the turnaround took hold, though the EPS consensus baseline was extremely depressed — the more meaningful signal is that revenue beats have been consistent and accelerating in size.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 the $13.8–$14.8B revenue range and $0.20 EPS midpoint remain the operative framework; management tone has remained constructive at conferences, with the CFO flagging rising memory/substrate input costs as a growing second-half headwind while reiterating confidence in the full-year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$13.8B – $14.8B (midpoint $14.3B)</w:t>
            </w:r>
          </w:p>
        </w:tc>
        <w:tc>
          <w:tcPr>
            <w:tcW w:type="dxa" w:w="1728"/>
          </w:tcPr>
          <w:p>
            <w:r>
              <w:rPr>
                <w:rFonts w:ascii="Calibri" w:hAnsi="Calibri"/>
                <w:sz w:val="22"/>
              </w:rPr>
              <w:t>—</w:t>
            </w:r>
          </w:p>
        </w:tc>
        <w:tc>
          <w:tcPr>
            <w:tcW w:type="dxa" w:w="1728"/>
          </w:tcPr>
          <w:p>
            <w:r>
              <w:rPr>
                <w:rFonts w:ascii="Calibri" w:hAnsi="Calibri"/>
                <w:sz w:val="22"/>
              </w:rPr>
              <w:t>$14.43B</w:t>
            </w:r>
          </w:p>
        </w:tc>
        <w:tc>
          <w:tcPr>
            <w:tcW w:type="dxa" w:w="1728"/>
          </w:tcPr>
          <w:p>
            <w:r>
              <w:rPr>
                <w:rFonts w:ascii="Calibri" w:hAnsi="Calibri"/>
                <w:sz w:val="22"/>
              </w:rPr>
              <w:t>Unchanged; consensus +0.9% above midpoint</w:t>
            </w:r>
          </w:p>
        </w:tc>
      </w:tr>
      <w:tr>
        <w:tc>
          <w:tcPr>
            <w:tcW w:type="dxa" w:w="1728"/>
          </w:tcPr>
          <w:p>
            <w:r>
              <w:rPr>
                <w:rFonts w:ascii="Calibri" w:hAnsi="Calibri"/>
                <w:sz w:val="22"/>
              </w:rPr>
              <w:t>Q2 2026 Non-GAAP Gross Margin</w:t>
            </w:r>
          </w:p>
        </w:tc>
        <w:tc>
          <w:tcPr>
            <w:tcW w:type="dxa" w:w="1728"/>
          </w:tcPr>
          <w:p>
            <w:r>
              <w:rPr>
                <w:rFonts w:ascii="Calibri" w:hAnsi="Calibri"/>
                <w:sz w:val="22"/>
              </w:rPr>
              <w:t>~39%</w:t>
            </w:r>
          </w:p>
        </w:tc>
        <w:tc>
          <w:tcPr>
            <w:tcW w:type="dxa" w:w="1728"/>
          </w:tcPr>
          <w:p>
            <w:r>
              <w:rPr>
                <w:rFonts w:ascii="Calibri" w:hAnsi="Calibri"/>
                <w:sz w:val="22"/>
              </w:rPr>
              <w:t>—</w:t>
            </w:r>
          </w:p>
        </w:tc>
        <w:tc>
          <w:tcPr>
            <w:tcW w:type="dxa" w:w="1728"/>
          </w:tcPr>
          <w:p>
            <w:r>
              <w:rPr>
                <w:rFonts w:ascii="Calibri" w:hAnsi="Calibri"/>
                <w:sz w:val="22"/>
              </w:rPr>
              <w:t>~39.3%</w:t>
            </w:r>
          </w:p>
        </w:tc>
        <w:tc>
          <w:tcPr>
            <w:tcW w:type="dxa" w:w="1728"/>
          </w:tcPr>
          <w:p>
            <w:r>
              <w:rPr>
                <w:rFonts w:ascii="Calibri" w:hAnsi="Calibri"/>
                <w:sz w:val="22"/>
              </w:rPr>
              <w:t>Unchanged; modest decline from Q1 due to 18A ramp mix and non-repeating inventory benefits</w:t>
            </w:r>
          </w:p>
        </w:tc>
      </w:tr>
      <w:tr>
        <w:tc>
          <w:tcPr>
            <w:tcW w:type="dxa" w:w="1728"/>
          </w:tcPr>
          <w:p>
            <w:r>
              <w:rPr>
                <w:rFonts w:ascii="Calibri" w:hAnsi="Calibri"/>
                <w:sz w:val="22"/>
              </w:rPr>
              <w:t>Q2 2026 Non-GAAP EPS</w:t>
            </w:r>
          </w:p>
        </w:tc>
        <w:tc>
          <w:tcPr>
            <w:tcW w:type="dxa" w:w="1728"/>
          </w:tcPr>
          <w:p>
            <w:r>
              <w:rPr>
                <w:rFonts w:ascii="Calibri" w:hAnsi="Calibri"/>
                <w:sz w:val="22"/>
              </w:rPr>
              <w:t>$0.20</w:t>
            </w:r>
          </w:p>
        </w:tc>
        <w:tc>
          <w:tcPr>
            <w:tcW w:type="dxa" w:w="1728"/>
          </w:tcPr>
          <w:p>
            <w:r>
              <w:rPr>
                <w:rFonts w:ascii="Calibri" w:hAnsi="Calibri"/>
                <w:sz w:val="22"/>
              </w:rPr>
              <w:t>—</w:t>
            </w:r>
          </w:p>
        </w:tc>
        <w:tc>
          <w:tcPr>
            <w:tcW w:type="dxa" w:w="1728"/>
          </w:tcPr>
          <w:p>
            <w:r>
              <w:rPr>
                <w:rFonts w:ascii="Calibri" w:hAnsi="Calibri"/>
                <w:sz w:val="22"/>
              </w:rPr>
              <w:t>$0.22</w:t>
            </w:r>
          </w:p>
        </w:tc>
        <w:tc>
          <w:tcPr>
            <w:tcW w:type="dxa" w:w="1728"/>
          </w:tcPr>
          <w:p>
            <w:r>
              <w:rPr>
                <w:rFonts w:ascii="Calibri" w:hAnsi="Calibri"/>
                <w:sz w:val="22"/>
              </w:rPr>
              <w:t>Unchanged; consensus +10% above guidance midpoint</w:t>
            </w:r>
          </w:p>
        </w:tc>
      </w:tr>
      <w:tr>
        <w:tc>
          <w:tcPr>
            <w:tcW w:type="dxa" w:w="1728"/>
          </w:tcPr>
          <w:p>
            <w:r>
              <w:rPr>
                <w:rFonts w:ascii="Calibri" w:hAnsi="Calibri"/>
                <w:sz w:val="22"/>
              </w:rPr>
              <w:t>Q2 2026 Non-GAAP Tax Rate</w:t>
            </w:r>
          </w:p>
        </w:tc>
        <w:tc>
          <w:tcPr>
            <w:tcW w:type="dxa" w:w="1728"/>
          </w:tcPr>
          <w:p>
            <w:r>
              <w:rPr>
                <w:rFonts w:ascii="Calibri" w:hAnsi="Calibri"/>
                <w:sz w:val="22"/>
              </w:rPr>
              <w:t>11%</w:t>
            </w:r>
          </w:p>
        </w:tc>
        <w:tc>
          <w:tcPr>
            <w:tcW w:type="dxa" w:w="1728"/>
          </w:tcPr>
          <w:p>
            <w:r>
              <w:rPr>
                <w:rFonts w:ascii="Calibri" w:hAnsi="Calibri"/>
                <w:sz w:val="22"/>
              </w:rPr>
              <w:t>—</w:t>
            </w:r>
          </w:p>
        </w:tc>
        <w:tc>
          <w:tcPr>
            <w:tcW w:type="dxa" w:w="1728"/>
          </w:tcPr>
          <w:p>
            <w:r>
              <w:rPr>
                <w:rFonts w:ascii="Calibri" w:hAnsi="Calibri"/>
                <w:sz w:val="22"/>
              </w:rPr>
              <w:t>~11%</w:t>
            </w:r>
          </w:p>
        </w:tc>
        <w:tc>
          <w:tcPr>
            <w:tcW w:type="dxa" w:w="1728"/>
          </w:tcPr>
          <w:p>
            <w:r>
              <w:rPr>
                <w:rFonts w:ascii="Calibri" w:hAnsi="Calibri"/>
                <w:sz w:val="22"/>
              </w:rPr>
              <w:t>Unchanged</w:t>
            </w:r>
          </w:p>
        </w:tc>
      </w:tr>
      <w:tr>
        <w:tc>
          <w:tcPr>
            <w:tcW w:type="dxa" w:w="1728"/>
          </w:tcPr>
          <w:p>
            <w:r>
              <w:rPr>
                <w:rFonts w:ascii="Calibri" w:hAnsi="Calibri"/>
                <w:sz w:val="22"/>
              </w:rPr>
              <w:t>DCAI Sequential Growth</w:t>
            </w:r>
          </w:p>
        </w:tc>
        <w:tc>
          <w:tcPr>
            <w:tcW w:type="dxa" w:w="1728"/>
          </w:tcPr>
          <w:p>
            <w:r>
              <w:rPr>
                <w:rFonts w:ascii="Calibri" w:hAnsi="Calibri"/>
                <w:sz w:val="22"/>
              </w:rPr>
              <w:t>Up double-digits sequentially</w:t>
            </w:r>
          </w:p>
        </w:tc>
        <w:tc>
          <w:tcPr>
            <w:tcW w:type="dxa" w:w="1728"/>
          </w:tcPr>
          <w:p>
            <w:r>
              <w:rPr>
                <w:rFonts w:ascii="Calibri" w:hAnsi="Calibri"/>
                <w:sz w:val="22"/>
              </w:rPr>
              <w:t>—</w:t>
            </w:r>
          </w:p>
        </w:tc>
        <w:tc>
          <w:tcPr>
            <w:tcW w:type="dxa" w:w="1728"/>
          </w:tcPr>
          <w:p>
            <w:r>
              <w:rPr>
                <w:rFonts w:ascii="Calibri" w:hAnsi="Calibri"/>
                <w:sz w:val="22"/>
              </w:rPr>
              <w:t>~$4.1B (est., ~-20% seq.)</w:t>
            </w:r>
          </w:p>
        </w:tc>
        <w:tc>
          <w:tcPr>
            <w:tcW w:type="dxa" w:w="1728"/>
          </w:tcPr>
          <w:p>
            <w:r>
              <w:rPr>
                <w:rFonts w:ascii="Calibri" w:hAnsi="Calibri"/>
                <w:sz w:val="22"/>
              </w:rPr>
              <w:t>Note: VA DCAI consensus appears to reflect segment reclassification; management guided double-digit sequential growth for DCAI</w:t>
            </w:r>
          </w:p>
        </w:tc>
      </w:tr>
      <w:tr>
        <w:tc>
          <w:tcPr>
            <w:tcW w:type="dxa" w:w="1728"/>
          </w:tcPr>
          <w:p>
            <w:r>
              <w:rPr>
                <w:rFonts w:ascii="Calibri" w:hAnsi="Calibri"/>
                <w:sz w:val="22"/>
              </w:rPr>
              <w:t>FY 2026 CapEx</w:t>
            </w:r>
          </w:p>
        </w:tc>
        <w:tc>
          <w:tcPr>
            <w:tcW w:type="dxa" w:w="1728"/>
          </w:tcPr>
          <w:p>
            <w:r>
              <w:rPr>
                <w:rFonts w:ascii="Calibri" w:hAnsi="Calibri"/>
                <w:sz w:val="22"/>
              </w:rPr>
              <w:t>Flat to FY 2025 (~$15.2B); tool spending up ~25% YoY</w:t>
            </w:r>
          </w:p>
        </w:tc>
        <w:tc>
          <w:tcPr>
            <w:tcW w:type="dxa" w:w="1728"/>
          </w:tcPr>
          <w:p>
            <w:r>
              <w:rPr>
                <w:rFonts w:ascii="Calibri" w:hAnsi="Calibri"/>
                <w:sz w:val="22"/>
              </w:rPr>
              <w:t>—</w:t>
            </w:r>
          </w:p>
        </w:tc>
        <w:tc>
          <w:tcPr>
            <w:tcW w:type="dxa" w:w="1728"/>
          </w:tcPr>
          <w:p>
            <w:r>
              <w:rPr>
                <w:rFonts w:ascii="Calibri" w:hAnsi="Calibri"/>
                <w:sz w:val="22"/>
              </w:rPr>
              <w:t>$15.17B</w:t>
            </w:r>
          </w:p>
        </w:tc>
        <w:tc>
          <w:tcPr>
            <w:tcW w:type="dxa" w:w="1728"/>
          </w:tcPr>
          <w:p>
            <w:r>
              <w:rPr>
                <w:rFonts w:ascii="Calibri" w:hAnsi="Calibri"/>
                <w:sz w:val="22"/>
              </w:rPr>
              <w:t>Raised from prior flat-to-down; reflects committed demand capacity investments</w:t>
            </w:r>
          </w:p>
        </w:tc>
      </w:tr>
      <w:tr>
        <w:tc>
          <w:tcPr>
            <w:tcW w:type="dxa" w:w="1728"/>
          </w:tcPr>
          <w:p>
            <w:r>
              <w:rPr>
                <w:rFonts w:ascii="Calibri" w:hAnsi="Calibri"/>
                <w:sz w:val="22"/>
              </w:rPr>
              <w:t>FY 2026 OpEx</w:t>
            </w:r>
          </w:p>
        </w:tc>
        <w:tc>
          <w:tcPr>
            <w:tcW w:type="dxa" w:w="1728"/>
          </w:tcPr>
          <w:p>
            <w:r>
              <w:rPr>
                <w:rFonts w:ascii="Calibri" w:hAnsi="Calibri"/>
                <w:sz w:val="22"/>
              </w:rPr>
              <w:t>Directionally ~$16B, likely higher due to inflation and variable comp</w:t>
            </w:r>
          </w:p>
        </w:tc>
        <w:tc>
          <w:tcPr>
            <w:tcW w:type="dxa" w:w="1728"/>
          </w:tcPr>
          <w:p>
            <w:r>
              <w:rPr>
                <w:rFonts w:ascii="Calibri" w:hAnsi="Calibri"/>
                <w:sz w:val="22"/>
              </w:rPr>
              <w:t>—</w:t>
            </w:r>
          </w:p>
        </w:tc>
        <w:tc>
          <w:tcPr>
            <w:tcW w:type="dxa" w:w="1728"/>
          </w:tcPr>
          <w:p>
            <w:r>
              <w:rPr>
                <w:rFonts w:ascii="Calibri" w:hAnsi="Calibri"/>
                <w:sz w:val="22"/>
              </w:rPr>
              <w:t>N/A (not tracked separately in VA)</w:t>
            </w:r>
          </w:p>
        </w:tc>
        <w:tc>
          <w:tcPr>
            <w:tcW w:type="dxa" w:w="1728"/>
          </w:tcPr>
          <w:p>
            <w:r>
              <w:rPr>
                <w:rFonts w:ascii="Calibri" w:hAnsi="Calibri"/>
                <w:sz w:val="22"/>
              </w:rPr>
              <w:t>Management flagged inflationary pressures and targeted investments as upside risks to OpEx</w:t>
            </w:r>
          </w:p>
        </w:tc>
      </w:tr>
      <w:tr>
        <w:tc>
          <w:tcPr>
            <w:tcW w:type="dxa" w:w="1728"/>
          </w:tcPr>
          <w:p>
            <w:r>
              <w:rPr>
                <w:rFonts w:ascii="Calibri" w:hAnsi="Calibri"/>
                <w:sz w:val="22"/>
              </w:rPr>
              <w:t>H2 2026 Gross Margin Tone</w:t>
            </w:r>
          </w:p>
        </w:tc>
        <w:tc>
          <w:tcPr>
            <w:tcW w:type="dxa" w:w="1728"/>
          </w:tcPr>
          <w:p>
            <w:r>
              <w:rPr>
                <w:rFonts w:ascii="Calibri" w:hAnsi="Calibri"/>
                <w:sz w:val="22"/>
              </w:rPr>
              <w:t>Rising memory/substrate input costs present growing headwinds in H2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Key risk: CFO explicitly flagged memory cost inflation as H2 headwind; watch Q3 gross margin guide closely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revenue consensus is up ~$0.6B and EPS up ~$0.01 from the post-Q1 baseline — tracking in line with guidance rather than diverging; the FY 2026 revenue consensus of $58.9B implies a meaningful H2 ramp that is consistent with management's seasonal commentary (servers above, PCs below), but the gap between current consensus and guidance on gross margin remains the key variable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$14.37B</w:t>
            </w:r>
          </w:p>
        </w:tc>
        <w:tc>
          <w:tcPr>
            <w:tcW w:type="dxa" w:w="1080"/>
          </w:tcPr>
          <w:p>
            <w:r>
              <w:rPr>
                <w:rFonts w:ascii="Calibri" w:hAnsi="Calibri"/>
                <w:sz w:val="22"/>
              </w:rPr>
              <w:t>$14.43B</w:t>
            </w:r>
          </w:p>
        </w:tc>
        <w:tc>
          <w:tcPr>
            <w:tcW w:type="dxa" w:w="1080"/>
          </w:tcPr>
          <w:p>
            <w:r>
              <w:rPr>
                <w:rFonts w:ascii="Calibri" w:hAnsi="Calibri"/>
                <w:sz w:val="22"/>
              </w:rPr>
              <w:t>+0.4%</w:t>
            </w:r>
          </w:p>
        </w:tc>
        <w:tc>
          <w:tcPr>
            <w:tcW w:type="dxa" w:w="1080"/>
          </w:tcPr>
          <w:p>
            <w:r>
              <w:rPr>
                <w:rFonts w:ascii="Calibri" w:hAnsi="Calibri"/>
                <w:sz w:val="22"/>
              </w:rPr>
              <w:t>$13.8B – $14.8B ($14.3B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w:t>
            </w:r>
          </w:p>
        </w:tc>
      </w:tr>
      <w:tr>
        <w:tc>
          <w:tcPr>
            <w:tcW w:type="dxa" w:w="1080"/>
          </w:tcPr>
          <w:p>
            <w:r>
              <w:rPr>
                <w:rFonts w:ascii="Calibri" w:hAnsi="Calibri"/>
                <w:sz w:val="22"/>
              </w:rPr>
              <w:t>Revenue — FY 2026</w:t>
            </w:r>
          </w:p>
        </w:tc>
        <w:tc>
          <w:tcPr>
            <w:tcW w:type="dxa" w:w="1080"/>
          </w:tcPr>
          <w:p>
            <w:r>
              <w:rPr>
                <w:rFonts w:ascii="Calibri" w:hAnsi="Calibri"/>
                <w:sz w:val="22"/>
              </w:rPr>
              <w:t>$58.43B</w:t>
            </w:r>
          </w:p>
        </w:tc>
        <w:tc>
          <w:tcPr>
            <w:tcW w:type="dxa" w:w="1080"/>
          </w:tcPr>
          <w:p>
            <w:r>
              <w:rPr>
                <w:rFonts w:ascii="Calibri" w:hAnsi="Calibri"/>
                <w:sz w:val="22"/>
              </w:rPr>
              <w:t>$58.89B</w:t>
            </w:r>
          </w:p>
        </w:tc>
        <w:tc>
          <w:tcPr>
            <w:tcW w:type="dxa" w:w="1080"/>
          </w:tcPr>
          <w:p>
            <w:r>
              <w:rPr>
                <w:rFonts w:ascii="Calibri" w:hAnsi="Calibri"/>
                <w:sz w:val="22"/>
              </w:rPr>
              <w:t>+0.8%</w:t>
            </w:r>
          </w:p>
        </w:tc>
        <w:tc>
          <w:tcPr>
            <w:tcW w:type="dxa" w:w="1080"/>
          </w:tcPr>
          <w:p>
            <w:r>
              <w:rPr>
                <w:rFonts w:ascii="Calibri" w:hAnsi="Calibri"/>
                <w:sz w:val="22"/>
              </w:rPr>
              <w:t>No FY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Gross Profit — Q2 2026</w:t>
            </w:r>
          </w:p>
        </w:tc>
        <w:tc>
          <w:tcPr>
            <w:tcW w:type="dxa" w:w="1080"/>
          </w:tcPr>
          <w:p>
            <w:r>
              <w:rPr>
                <w:rFonts w:ascii="Calibri" w:hAnsi="Calibri"/>
                <w:sz w:val="22"/>
              </w:rPr>
              <w:t>$5.63B</w:t>
            </w:r>
          </w:p>
        </w:tc>
        <w:tc>
          <w:tcPr>
            <w:tcW w:type="dxa" w:w="1080"/>
          </w:tcPr>
          <w:p>
            <w:r>
              <w:rPr>
                <w:rFonts w:ascii="Calibri" w:hAnsi="Calibri"/>
                <w:sz w:val="22"/>
              </w:rPr>
              <w:t>$5.66B</w:t>
            </w:r>
          </w:p>
        </w:tc>
        <w:tc>
          <w:tcPr>
            <w:tcW w:type="dxa" w:w="1080"/>
          </w:tcPr>
          <w:p>
            <w:r>
              <w:rPr>
                <w:rFonts w:ascii="Calibri" w:hAnsi="Calibri"/>
                <w:sz w:val="22"/>
              </w:rPr>
              <w:t>+0.5%</w:t>
            </w:r>
          </w:p>
        </w:tc>
        <w:tc>
          <w:tcPr>
            <w:tcW w:type="dxa" w:w="1080"/>
          </w:tcPr>
          <w:p>
            <w:r>
              <w:rPr>
                <w:rFonts w:ascii="Calibri" w:hAnsi="Calibri"/>
                <w:sz w:val="22"/>
              </w:rPr>
              <w:t>~39% margin ($5.58B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above implied</w:t>
            </w:r>
          </w:p>
        </w:tc>
      </w:tr>
      <w:tr>
        <w:tc>
          <w:tcPr>
            <w:tcW w:type="dxa" w:w="1080"/>
          </w:tcPr>
          <w:p>
            <w:r>
              <w:rPr>
                <w:rFonts w:ascii="Calibri" w:hAnsi="Calibri"/>
                <w:sz w:val="22"/>
              </w:rPr>
              <w:t>Non-GAAP Gross Profit — FY 2026</w:t>
            </w:r>
          </w:p>
        </w:tc>
        <w:tc>
          <w:tcPr>
            <w:tcW w:type="dxa" w:w="1080"/>
          </w:tcPr>
          <w:p>
            <w:r>
              <w:rPr>
                <w:rFonts w:ascii="Calibri" w:hAnsi="Calibri"/>
                <w:sz w:val="22"/>
              </w:rPr>
              <w:t>$23.50B</w:t>
            </w:r>
          </w:p>
        </w:tc>
        <w:tc>
          <w:tcPr>
            <w:tcW w:type="dxa" w:w="1080"/>
          </w:tcPr>
          <w:p>
            <w:r>
              <w:rPr>
                <w:rFonts w:ascii="Calibri" w:hAnsi="Calibri"/>
                <w:sz w:val="22"/>
              </w:rPr>
              <w:t>$23.73B</w:t>
            </w:r>
          </w:p>
        </w:tc>
        <w:tc>
          <w:tcPr>
            <w:tcW w:type="dxa" w:w="1080"/>
          </w:tcPr>
          <w:p>
            <w:r>
              <w:rPr>
                <w:rFonts w:ascii="Calibri" w:hAnsi="Calibri"/>
                <w:sz w:val="22"/>
              </w:rPr>
              <w:t>+1.0%</w:t>
            </w:r>
          </w:p>
        </w:tc>
        <w:tc>
          <w:tcPr>
            <w:tcW w:type="dxa" w:w="1080"/>
          </w:tcPr>
          <w:p>
            <w:r>
              <w:rPr>
                <w:rFonts w:ascii="Calibri" w:hAnsi="Calibri"/>
                <w:sz w:val="22"/>
              </w:rPr>
              <w:t>No FY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Q2 2026</w:t>
            </w:r>
          </w:p>
        </w:tc>
        <w:tc>
          <w:tcPr>
            <w:tcW w:type="dxa" w:w="1080"/>
          </w:tcPr>
          <w:p>
            <w:r>
              <w:rPr>
                <w:rFonts w:ascii="Calibri" w:hAnsi="Calibri"/>
                <w:sz w:val="22"/>
              </w:rPr>
              <w:t>$0.214</w:t>
            </w:r>
          </w:p>
        </w:tc>
        <w:tc>
          <w:tcPr>
            <w:tcW w:type="dxa" w:w="1080"/>
          </w:tcPr>
          <w:p>
            <w:r>
              <w:rPr>
                <w:rFonts w:ascii="Calibri" w:hAnsi="Calibri"/>
                <w:sz w:val="22"/>
              </w:rPr>
              <w:t>$0.223</w:t>
            </w:r>
          </w:p>
        </w:tc>
        <w:tc>
          <w:tcPr>
            <w:tcW w:type="dxa" w:w="1080"/>
          </w:tcPr>
          <w:p>
            <w:r>
              <w:rPr>
                <w:rFonts w:ascii="Calibri" w:hAnsi="Calibri"/>
                <w:sz w:val="22"/>
              </w:rPr>
              <w:t>+4.2%</w:t>
            </w:r>
          </w:p>
        </w:tc>
        <w:tc>
          <w:tcPr>
            <w:tcW w:type="dxa" w:w="1080"/>
          </w:tcPr>
          <w:p>
            <w:r>
              <w:rPr>
                <w:rFonts w:ascii="Calibri" w:hAnsi="Calibri"/>
                <w:sz w:val="22"/>
              </w:rPr>
              <w:t>$0.20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+11.5% above guidance</w:t>
            </w:r>
          </w:p>
        </w:tc>
      </w:tr>
      <w:tr>
        <w:tc>
          <w:tcPr>
            <w:tcW w:type="dxa" w:w="1080"/>
          </w:tcPr>
          <w:p>
            <w:r>
              <w:rPr>
                <w:rFonts w:ascii="Calibri" w:hAnsi="Calibri"/>
                <w:sz w:val="22"/>
              </w:rPr>
              <w:t>Non-GAAP EPS — FY 2026</w:t>
            </w:r>
          </w:p>
        </w:tc>
        <w:tc>
          <w:tcPr>
            <w:tcW w:type="dxa" w:w="1080"/>
          </w:tcPr>
          <w:p>
            <w:r>
              <w:rPr>
                <w:rFonts w:ascii="Calibri" w:hAnsi="Calibri"/>
                <w:sz w:val="22"/>
              </w:rPr>
              <w:t>$1.090</w:t>
            </w:r>
          </w:p>
        </w:tc>
        <w:tc>
          <w:tcPr>
            <w:tcW w:type="dxa" w:w="1080"/>
          </w:tcPr>
          <w:p>
            <w:r>
              <w:rPr>
                <w:rFonts w:ascii="Calibri" w:hAnsi="Calibri"/>
                <w:sz w:val="22"/>
              </w:rPr>
              <w:t>$1.131</w:t>
            </w:r>
          </w:p>
        </w:tc>
        <w:tc>
          <w:tcPr>
            <w:tcW w:type="dxa" w:w="1080"/>
          </w:tcPr>
          <w:p>
            <w:r>
              <w:rPr>
                <w:rFonts w:ascii="Calibri" w:hAnsi="Calibri"/>
                <w:sz w:val="22"/>
              </w:rPr>
              <w:t>+3.8%</w:t>
            </w:r>
          </w:p>
        </w:tc>
        <w:tc>
          <w:tcPr>
            <w:tcW w:type="dxa" w:w="1080"/>
          </w:tcPr>
          <w:p>
            <w:r>
              <w:rPr>
                <w:rFonts w:ascii="Calibri" w:hAnsi="Calibri"/>
                <w:sz w:val="22"/>
              </w:rPr>
              <w:t>No FY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as-of date April 28, 2026 (5 trading days after April 23 earnings). Estimates have drifted modestly higher across all KPIs since the Q1 print, consistent with management's constructive tone and peer read-throughs confirming strong server CPU demand. The FY 2026 EPS revision of +3.8% since the Q1 print reflects growing confidence in the H2 ramp, though the absolute level ($1.13) still implies significant H2 earnings acceleration that depends on gross margin recovery from the 18A ramp headwind.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INTC surged ~111% from the Q1 earnings close ($66.78) to a peak of ~$141 on June 22 — driven almost entirely by multiple expansion and sentiment re-rating on the turnaround narrative — before pulling back ~27% to ~$103 today; the stock has dramatically outperformed both SOXX (+26%) and SPY (+5.5%) since the Q1 print, meaning the bar for the Q2 print is now higher and the stock needs a beat-and-raise to sustain current levels.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INTC vs. SOXX (Semiconductor ETF) vs. S&amp;P 500 (SPY) — Indexed to 100 at Q1 2026 Earnings (April 23, 2026). Source: Yahoo Finance / Stock Price Data.</w:t>
      </w:r>
    </w:p>
    <w:p>
      <w:r>
        <w:rPr>
          <w:rFonts w:ascii="Calibri" w:hAnsi="Calibri"/>
          <w:b/>
          <w:color w:val="525866"/>
          <w:sz w:val="22"/>
        </w:rPr>
        <w:t>Performance Summary (April 23 – July 22, 2026):</w:t>
      </w:r>
    </w:p>
    <w:p>
      <w:pPr>
        <w:pStyle w:val="ListBullet"/>
        <w:ind w:left="360" w:hanging="360"/>
      </w:pPr>
      <w:r>
        <w:rPr>
          <w:rFonts w:ascii="Calibri" w:hAnsi="Calibri"/>
          <w:b/>
          <w:color w:val="525866"/>
          <w:sz w:val="22"/>
        </w:rPr>
        <w:t xml:space="preserve">INTC: </w:t>
      </w:r>
      <w:r>
        <w:rPr>
          <w:rFonts w:ascii="Calibri" w:hAnsi="Calibri"/>
          <w:color w:val="525866"/>
          <w:sz w:val="22"/>
        </w:rPr>
        <w:t>+53.7% (from $66.78 to $102.62); peak of $140.94 on June 22 (+111.1% from base)</w:t>
      </w:r>
    </w:p>
    <w:p>
      <w:pPr>
        <w:pStyle w:val="ListBullet"/>
        <w:ind w:left="360" w:hanging="360"/>
      </w:pPr>
      <w:r>
        <w:rPr>
          <w:rFonts w:ascii="Calibri" w:hAnsi="Calibri"/>
          <w:b/>
          <w:color w:val="525866"/>
          <w:sz w:val="22"/>
        </w:rPr>
        <w:t xml:space="preserve">SOXX (Semiconductor ETF): </w:t>
      </w:r>
      <w:r>
        <w:rPr>
          <w:rFonts w:ascii="Calibri" w:hAnsi="Calibri"/>
          <w:color w:val="525866"/>
          <w:sz w:val="22"/>
        </w:rPr>
        <w:t>+26.0% (from $441.00 to $555.52)</w:t>
      </w:r>
    </w:p>
    <w:p>
      <w:pPr>
        <w:pStyle w:val="ListBullet"/>
        <w:ind w:left="360" w:hanging="360"/>
      </w:pPr>
      <w:r>
        <w:rPr>
          <w:rFonts w:ascii="Calibri" w:hAnsi="Calibri"/>
          <w:b/>
          <w:color w:val="525866"/>
          <w:sz w:val="22"/>
        </w:rPr>
        <w:t xml:space="preserve">S&amp;P 500 (SPY): </w:t>
      </w:r>
      <w:r>
        <w:rPr>
          <w:rFonts w:ascii="Calibri" w:hAnsi="Calibri"/>
          <w:color w:val="525866"/>
          <w:sz w:val="22"/>
        </w:rPr>
        <w:t>+5.5% (from $708.45 to $747.41)</w:t>
      </w:r>
    </w:p>
    <w:p>
      <w:pPr>
        <w:pStyle w:val="ListBullet"/>
        <w:ind w:left="360" w:hanging="360"/>
      </w:pPr>
      <w:r>
        <w:rPr>
          <w:rFonts w:ascii="Calibri" w:hAnsi="Calibri"/>
          <w:b/>
          <w:color w:val="525866"/>
          <w:sz w:val="22"/>
        </w:rPr>
        <w:t xml:space="preserve">Key events: </w:t>
      </w:r>
      <w:r>
        <w:rPr>
          <w:rFonts w:ascii="Calibri" w:hAnsi="Calibri"/>
          <w:color w:val="525866"/>
          <w:sz w:val="22"/>
        </w:rPr>
        <w:t>(1) April 30 — $6.5B debt offering (8-K); (2) May 11–15 — Computex: Xeon 6+ (Clearwater Forest) launch on 18A, Diamond Rapids 2027 confirmation, Terafab/SpaceX/xAI/Tesla partnership, Arc G3 handheld gaming chips; (3) June 2 — NVIDIA GTC Taipei (Vera CPU $20B target announced, competitive signal); (4) June 22 — INTC peak; (5) June 24 — QCOM Investor Day (Meta CPU supply deal announced, competitive pressure); (6) July 1–22 — gradual pullback from peak.</w:t>
      </w:r>
    </w:p>
    <w:p>
      <w:pPr>
        <w:pStyle w:val="ListBullet"/>
        <w:ind w:left="360" w:hanging="360"/>
      </w:pPr>
      <w:r>
        <w:rPr>
          <w:rFonts w:ascii="Calibri" w:hAnsi="Calibri"/>
          <w:b/>
          <w:color w:val="525866"/>
          <w:sz w:val="22"/>
        </w:rPr>
        <w:t xml:space="preserve">Driver analysis: </w:t>
      </w:r>
      <w:r>
        <w:rPr>
          <w:rFonts w:ascii="Calibri" w:hAnsi="Calibri"/>
          <w:color w:val="525866"/>
          <w:sz w:val="22"/>
        </w:rPr>
        <w:t>The initial surge post-Q1 was driven by the magnitude of the beat and the Q2 guidance well above consensus. The Computex announcements (18A at full scale, Xeon 6+ launch, Terafab) extended the rally through mid-June. The pullback from the $141 peak reflects profit-taking, QCOM's competitive announcements (Meta CPU deal), and NVIDIA's Vera CPU ambitions creating uncertainty around Intel's long-term server CPU share.</w:t>
      </w:r>
    </w:p>
    <w:p>
      <w:r>
        <w:rPr>
          <w:rFonts w:ascii="Calibri" w:hAnsi="Calibri"/>
          <w:color w:val="525866"/>
          <w:sz w:val="22"/>
        </w:rPr>
        <w:t>Sector ETF used: SOXX (iShares Semiconductor ETF) — appropriate for Intel's sub-sector as a diversified semiconductor company spanning CPU design, manufacturing/foundry, and AI accelerators.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Intel's Computex launch of Xeon 6+ (Clearwater Forest) on 18A — the first data center CPU on Intel's leading-edge node — which validates the manufacturing turnaround narrative and directly supports the DCAI double-digit sequential growth guide; the $6.5B debt offering and QCOM's Meta CPU supply deal are the key risk-side developments to monitor.</w:t>
      </w:r>
    </w:p>
    <w:p>
      <w:pPr>
        <w:pStyle w:val="ListBullet"/>
        <w:ind w:left="360" w:hanging="360"/>
      </w:pPr>
      <w:r>
        <w:rPr>
          <w:rFonts w:ascii="Calibri" w:hAnsi="Calibri"/>
          <w:b/>
          <w:color w:val="525866"/>
          <w:sz w:val="22"/>
        </w:rPr>
        <w:t xml:space="preserve">May 11–15, 2026 — Computex 2026 (Multiple Announcements): </w:t>
      </w:r>
      <w:r>
        <w:rPr>
          <w:rFonts w:ascii="Calibri" w:hAnsi="Calibri"/>
          <w:color w:val="525866"/>
          <w:sz w:val="22"/>
        </w:rPr>
        <w:t xml:space="preserve">Intel officially launched Xeon 6+ (Clearwater Forest), the first data center CPU built on Intel 18A, featuring up to 288 E-cores targeting cloud-native and agentic AI workloads. Confirmed Diamond Rapids (Xeon 7) for 2027 on refined 18A-P process. Announced Terafab manufacturing partnership with SpaceX, xAI, and Tesla. Launched Rack Scale Blueprints initiative with Foxconn and Sambanova. Introduced Arc G3 handheld gaming chips (Panther Lake/18A). Previewed Crescent Island data center GPU (Xe3P, 350W PCIe, customer sampling H2 2026). </w:t>
      </w:r>
      <w:r>
        <w:rPr>
          <w:rFonts w:ascii="Calibri" w:hAnsi="Calibri"/>
          <w:i/>
          <w:color w:val="525866"/>
          <w:sz w:val="22"/>
        </w:rPr>
        <w:t>Implication: Validates 18A at full scale; accelerates DCAI revenue visibility and foundry credibility.</w:t>
      </w:r>
    </w:p>
    <w:p>
      <w:pPr>
        <w:pStyle w:val="ListBullet"/>
        <w:ind w:left="360" w:hanging="360"/>
      </w:pPr>
      <w:r>
        <w:rPr>
          <w:rFonts w:ascii="Calibri" w:hAnsi="Calibri"/>
          <w:b/>
          <w:color w:val="525866"/>
          <w:sz w:val="22"/>
        </w:rPr>
        <w:t xml:space="preserve">April 30, 2026 — $6.5B Senior Notes Offering (8-K): </w:t>
      </w:r>
      <w:r>
        <w:rPr>
          <w:rFonts w:ascii="Calibri" w:hAnsi="Calibri"/>
          <w:color w:val="525866"/>
          <w:sz w:val="22"/>
        </w:rPr>
        <w:t xml:space="preserve">Intel issued $6.5B in senior notes (maturities 2031–2066, rates 4.65%–6.20%) with net proceeds of ~$6.47B. Follows the Fab 34 Ireland buyout that raised leverage to ~4x. </w:t>
      </w:r>
      <w:r>
        <w:rPr>
          <w:rFonts w:ascii="Calibri" w:hAnsi="Calibri"/>
          <w:i/>
          <w:color w:val="525866"/>
          <w:sz w:val="22"/>
        </w:rPr>
        <w:t>Implication: Signals confidence in long-term CapEx commitments but adds balance sheet risk; watch leverage trajectory.</w:t>
      </w:r>
    </w:p>
    <w:p>
      <w:pPr>
        <w:pStyle w:val="ListBullet"/>
        <w:ind w:left="360" w:hanging="360"/>
      </w:pPr>
      <w:r>
        <w:rPr>
          <w:rFonts w:ascii="Calibri" w:hAnsi="Calibri"/>
          <w:b/>
          <w:color w:val="525866"/>
          <w:sz w:val="22"/>
        </w:rPr>
        <w:t xml:space="preserve">April 23, 2026 — Q1 2026 Earnings Beat (6th Consecutive): </w:t>
      </w:r>
      <w:r>
        <w:rPr>
          <w:rFonts w:ascii="Calibri" w:hAnsi="Calibri"/>
          <w:color w:val="525866"/>
          <w:sz w:val="22"/>
        </w:rPr>
        <w:t xml:space="preserve">Revenue $13.58B (+9.6% vs. consensus), non-GAAP EPS $0.29 vs. $0.016 consensus, gross margin in low 40s. Q2 guided $13.8–$14.8B revenue and $0.20 EPS — both well above prior Street expectations. ASIC business at &gt;$1B annual run rate. Google LTA signed. 18A yields ahead of internal targets. </w:t>
      </w:r>
      <w:r>
        <w:rPr>
          <w:rFonts w:ascii="Calibri" w:hAnsi="Calibri"/>
          <w:i/>
          <w:color w:val="525866"/>
          <w:sz w:val="22"/>
        </w:rPr>
        <w:t>Implication: Established the high-confidence baseline for Q2; the beat-and-raise pattern is now the expectation.</w:t>
      </w:r>
    </w:p>
    <w:p>
      <w:pPr>
        <w:pStyle w:val="ListBullet"/>
        <w:ind w:left="360" w:hanging="360"/>
      </w:pPr>
      <w:r>
        <w:rPr>
          <w:rFonts w:ascii="Calibri" w:hAnsi="Calibri"/>
          <w:b/>
          <w:color w:val="525866"/>
          <w:sz w:val="22"/>
        </w:rPr>
        <w:t xml:space="preserve">June 24, 2026 — Qualcomm Investor Day (Competitive Risk): </w:t>
      </w:r>
      <w:r>
        <w:rPr>
          <w:rFonts w:ascii="Calibri" w:hAnsi="Calibri"/>
          <w:color w:val="525866"/>
          <w:sz w:val="22"/>
        </w:rPr>
        <w:t xml:space="preserve">QCOM announced Meta as a multi-generational CPU supply partner for data centers. Introduced C1000 data center CPU claiming &gt;30% performance advantage vs. competition. Targeting $5B data center revenue in FY27 and $15B in FY29. </w:t>
      </w:r>
      <w:r>
        <w:rPr>
          <w:rFonts w:ascii="Calibri" w:hAnsi="Calibri"/>
          <w:i/>
          <w:color w:val="525866"/>
          <w:sz w:val="22"/>
        </w:rPr>
        <w:t>Implication: Direct competitive threat to Intel's server CPU dominance; watch for any management commentary on competitive positioning in Q2 call.</w:t>
      </w:r>
    </w:p>
    <w:p>
      <w:pPr>
        <w:pStyle w:val="ListBullet"/>
        <w:ind w:left="360" w:hanging="360"/>
      </w:pPr>
      <w:r>
        <w:rPr>
          <w:rFonts w:ascii="Calibri" w:hAnsi="Calibri"/>
          <w:b/>
          <w:color w:val="525866"/>
          <w:sz w:val="22"/>
        </w:rPr>
        <w:t xml:space="preserve">June 2, 2026 — NVIDIA GTC Taipei (Competitive Signal): </w:t>
      </w:r>
      <w:r>
        <w:rPr>
          <w:rFonts w:ascii="Calibri" w:hAnsi="Calibri"/>
          <w:color w:val="525866"/>
          <w:sz w:val="22"/>
        </w:rPr>
        <w:t xml:space="preserve">Jensen Huang announced $20B Vera CPU revenue target for calendar 2026, claiming Vera is 1.8x faster than x86 in certain workloads. Stated 'every data center with NVIDIA GPUs will likely use Vera.' </w:t>
      </w:r>
      <w:r>
        <w:rPr>
          <w:rFonts w:ascii="Calibri" w:hAnsi="Calibri"/>
          <w:i/>
          <w:color w:val="525866"/>
          <w:sz w:val="22"/>
        </w:rPr>
        <w:t>Implication: Structural long-term risk to Intel's server CPU attach rate in AI-centric data centers; near-term impact limited as Vera ramp begins H2 2026.</w:t>
      </w:r>
    </w:p>
    <w:p>
      <w:pPr>
        <w:pStyle w:val="ListBullet"/>
        <w:ind w:left="360" w:hanging="360"/>
      </w:pPr>
      <w:r>
        <w:rPr>
          <w:rFonts w:ascii="Calibri" w:hAnsi="Calibri"/>
          <w:b/>
          <w:color w:val="525866"/>
          <w:sz w:val="22"/>
        </w:rPr>
        <w:t xml:space="preserve">May 2026 — New Leadership Hires: </w:t>
      </w:r>
      <w:r>
        <w:rPr>
          <w:rFonts w:ascii="Calibri" w:hAnsi="Calibri"/>
          <w:color w:val="525866"/>
          <w:sz w:val="22"/>
        </w:rPr>
        <w:t xml:space="preserve">Alex Katouzian (ex-Qualcomm) named EVP/GM of Client Computing and Physical AI Group. Pushkar Ranade named permanent CTO. Kevork Kechichian (ex-Arm) continues as EVP/GM Data Center Group. </w:t>
      </w:r>
      <w:r>
        <w:rPr>
          <w:rFonts w:ascii="Calibri" w:hAnsi="Calibri"/>
          <w:i/>
          <w:color w:val="525866"/>
          <w:sz w:val="22"/>
        </w:rPr>
        <w:t>Implication: Signals continued cultural transformation; new leadership bringing external discipline to product execution.</w:t>
      </w:r>
    </w:p>
    <w:p>
      <w:pPr>
        <w:pStyle w:val="ListBullet"/>
        <w:ind w:left="360" w:hanging="360"/>
      </w:pPr>
      <w:r>
        <w:rPr>
          <w:rFonts w:ascii="Calibri" w:hAnsi="Calibri"/>
          <w:b/>
          <w:color w:val="525866"/>
          <w:sz w:val="22"/>
        </w:rPr>
        <w:t xml:space="preserve">May 2026 — Perplexity Hybrid Agentic Inference Partnership: </w:t>
      </w:r>
      <w:r>
        <w:rPr>
          <w:rFonts w:ascii="Calibri" w:hAnsi="Calibri"/>
          <w:color w:val="525866"/>
          <w:sz w:val="22"/>
        </w:rPr>
        <w:t xml:space="preserve">Intel announced on-device AI orchestration partnership with Perplexity using Core Ultra Series 3, keeping sensitive data local while delegating non-sensitive workloads to cloud. </w:t>
      </w:r>
      <w:r>
        <w:rPr>
          <w:rFonts w:ascii="Calibri" w:hAnsi="Calibri"/>
          <w:i/>
          <w:color w:val="525866"/>
          <w:sz w:val="22"/>
        </w:rPr>
        <w:t>Implication: Validates Panther Lake/18A for edge AI use cases; supports CCG premium mix narrative.</w:t>
      </w:r>
    </w:p>
    <w:p>
      <w:pPr>
        <w:pStyle w:val="ListBullet"/>
        <w:ind w:left="360" w:hanging="360"/>
      </w:pPr>
      <w:r>
        <w:rPr>
          <w:rFonts w:ascii="Calibri" w:hAnsi="Calibri"/>
          <w:b/>
          <w:color w:val="525866"/>
          <w:sz w:val="22"/>
        </w:rPr>
        <w:t xml:space="preserve">Ongoing — Memory/Component Shortage Headwind: </w:t>
      </w:r>
      <w:r>
        <w:rPr>
          <w:rFonts w:ascii="Calibri" w:hAnsi="Calibri"/>
          <w:color w:val="525866"/>
          <w:sz w:val="22"/>
        </w:rPr>
        <w:t xml:space="preserve">Industry-wide DRAM/NAND shortages confirmed by AMD, QCOM, MU, and AMAT to persist through 2026–2027. Intel CFO flagged rising memory and substrate costs as growing H2 headwinds. </w:t>
      </w:r>
      <w:r>
        <w:rPr>
          <w:rFonts w:ascii="Calibri" w:hAnsi="Calibri"/>
          <w:i/>
          <w:color w:val="525866"/>
          <w:sz w:val="22"/>
        </w:rPr>
        <w:t>Implication: Key gross margin risk for H2 2026; watch Q3 gross margin guidance carefully.</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Every major peer that has reported or commented since Intel's Q1 earnings confirms the two most important tailwinds for INTC's Q2 print: (1) </w:t>
      </w:r>
      <w:r>
        <w:rPr>
          <w:rFonts w:ascii="Calibri" w:hAnsi="Calibri"/>
          <w:b/>
          <w:color w:val="525866"/>
          <w:sz w:val="22"/>
        </w:rPr>
        <w:t>server CPU demand is accelerating sharply</w:t>
      </w:r>
      <w:r>
        <w:rPr>
          <w:rFonts w:ascii="Calibri" w:hAnsi="Calibri"/>
          <w:color w:val="525866"/>
          <w:sz w:val="22"/>
        </w:rPr>
        <w:t xml:space="preserve"> driven by agentic AI workloads requiring CPU orchestration, and (2) </w:t>
      </w:r>
      <w:r>
        <w:rPr>
          <w:rFonts w:ascii="Calibri" w:hAnsi="Calibri"/>
          <w:b/>
          <w:color w:val="525866"/>
          <w:sz w:val="22"/>
        </w:rPr>
        <w:t>AI infrastructure CapEx is expanding at an unprecedented pace</w:t>
      </w:r>
      <w:r>
        <w:rPr>
          <w:rFonts w:ascii="Calibri" w:hAnsi="Calibri"/>
          <w:color w:val="525866"/>
          <w:sz w:val="22"/>
        </w:rPr>
        <w:t xml:space="preserve"> with no signs of deceleration; the key risk read-through is that memory cost inflation is a confirmed industry-wide headwind that will pressure gross margins in H2.</w:t>
      </w:r>
    </w:p>
    <w:p>
      <w:r>
        <w:rPr>
          <w:rFonts w:ascii="Calibri" w:hAnsi="Calibri"/>
          <w:i/>
          <w:color w:val="525866"/>
          <w:sz w:val="22"/>
        </w:rPr>
        <w:t>Note: Only commentary from peers reporting or presenting after Intel's Q1 2026 earnings (April 23, 2026) and pertaining to the current quarter (Q2 2026 / calendar Q2 2026) or forward outlook is included below. Prior-quarter results commentary is excluded.</w:t>
      </w:r>
    </w:p>
    <w:p>
      <w:pPr>
        <w:pStyle w:val="Heading3"/>
      </w:pPr>
      <w:r>
        <w:rPr>
          <w:rFonts w:ascii="Calibri" w:hAnsi="Calibri"/>
          <w:b/>
          <w:color w:val="3B4259"/>
          <w:sz w:val="24"/>
        </w:rPr>
        <w:t>AMD (Q1 2026 Earnings, May 5, 2026) — Positive Read-Through</w:t>
      </w:r>
    </w:p>
    <w:p>
      <w:r>
        <w:rPr>
          <w:rFonts w:ascii="Calibri" w:hAnsi="Calibri"/>
          <w:b/>
          <w:color w:val="525866"/>
          <w:sz w:val="22"/>
        </w:rPr>
        <w:t xml:space="preserve">Server CPU Demand Acceleration (Direct Positive): </w:t>
      </w:r>
      <w:r>
        <w:rPr>
          <w:rFonts w:ascii="Calibri" w:hAnsi="Calibri"/>
          <w:color w:val="525866"/>
          <w:sz w:val="22"/>
        </w:rPr>
        <w:t xml:space="preserve">AMD guided Q2 2026 server CPU revenue to grow </w:t>
      </w:r>
      <w:r>
        <w:rPr>
          <w:rFonts w:ascii="Calibri" w:hAnsi="Calibri"/>
          <w:b/>
          <w:color w:val="525866"/>
          <w:sz w:val="22"/>
        </w:rPr>
        <w:t>more than 70% year-over-year</w:t>
      </w:r>
      <w:r>
        <w:rPr>
          <w:rFonts w:ascii="Calibri" w:hAnsi="Calibri"/>
          <w:color w:val="525866"/>
          <w:sz w:val="22"/>
        </w:rPr>
        <w:t xml:space="preserve"> with 'robust growth continuing through H2 2026 and into 2027.' AMD raised its server CPU TAM forecast from ~$60B (18% CAGR) to </w:t>
      </w:r>
      <w:r>
        <w:rPr>
          <w:rFonts w:ascii="Calibri" w:hAnsi="Calibri"/>
          <w:b/>
          <w:color w:val="525866"/>
          <w:sz w:val="22"/>
        </w:rPr>
        <w:t>over $120B by 2030 (&gt;35% CAGR)</w:t>
      </w:r>
      <w:r>
        <w:rPr>
          <w:rFonts w:ascii="Calibri" w:hAnsi="Calibri"/>
          <w:color w:val="525866"/>
          <w:sz w:val="22"/>
        </w:rPr>
        <w:t>, citing agentic AI as the structural driver. Management stated: 'Inferencing and Agentic AI are increasing the need for server CPU compute for orchestration, data movement and parallel execution.' This directly validates Intel's thesis that CPU demand is re-accelerating as workloads shift from training to inference and agentic AI — the same narrative Intel management articulated on the Q1 call.</w:t>
      </w:r>
    </w:p>
    <w:p>
      <w:r>
        <w:rPr>
          <w:rFonts w:ascii="Calibri" w:hAnsi="Calibri"/>
          <w:b/>
          <w:color w:val="525866"/>
          <w:sz w:val="22"/>
        </w:rPr>
        <w:t xml:space="preserve">Long-Term Supply Agreements (Positive): </w:t>
      </w:r>
      <w:r>
        <w:rPr>
          <w:rFonts w:ascii="Calibri" w:hAnsi="Calibri"/>
          <w:color w:val="525866"/>
          <w:sz w:val="22"/>
        </w:rPr>
        <w:t>AMD noted it is 'now talking about 2027 and 2028 CPU demand' with customers, enabling better long-term planning. This mirrors Intel's disclosure of multiple LTAs signed in Q1 (including Google) and supports the view that server CPU demand visibility has extended materially.</w:t>
      </w:r>
    </w:p>
    <w:p>
      <w:r>
        <w:rPr>
          <w:rFonts w:ascii="Calibri" w:hAnsi="Calibri"/>
          <w:b/>
          <w:color w:val="525866"/>
          <w:sz w:val="22"/>
        </w:rPr>
        <w:t xml:space="preserve">PC/Client Headwind (Negative Read-Through): </w:t>
      </w:r>
      <w:r>
        <w:rPr>
          <w:rFonts w:ascii="Calibri" w:hAnsi="Calibri"/>
          <w:color w:val="525866"/>
          <w:sz w:val="22"/>
        </w:rPr>
        <w:t>AMD guided H2 PC shipments to be lower due to 'higher memory and component costs,' consistent with Intel's own guidance for PC demand to weaken in H2. AMD expects H2 gaming revenue to decline more than 20% vs. H1. This confirms Intel's CCG H2 headwind is industry-wide, not company-specific.</w:t>
      </w:r>
    </w:p>
    <w:p>
      <w:r>
        <w:rPr>
          <w:rFonts w:ascii="Calibri" w:hAnsi="Calibri"/>
          <w:b/>
          <w:color w:val="525866"/>
          <w:sz w:val="22"/>
        </w:rPr>
        <w:t xml:space="preserve">Memory Supply (Mixed): </w:t>
      </w:r>
      <w:r>
        <w:rPr>
          <w:rFonts w:ascii="Calibri" w:hAnsi="Calibri"/>
          <w:color w:val="525866"/>
          <w:sz w:val="22"/>
        </w:rPr>
        <w:t>AMD confirmed a 'tight memory environment' but stated it has 'secured enough supply to meet and exceed targets.' Intel faces the same dynamic but has flagged rising memory costs as a growing H2 gross margin headwind.</w:t>
      </w:r>
    </w:p>
    <w:p>
      <w:pPr>
        <w:pStyle w:val="Heading3"/>
      </w:pPr>
      <w:r>
        <w:rPr>
          <w:rFonts w:ascii="Calibri" w:hAnsi="Calibri"/>
          <w:b/>
          <w:color w:val="3B4259"/>
          <w:sz w:val="24"/>
        </w:rPr>
        <w:t>NVIDIA (Q1 FY2027 Earnings, May 20, 2026; GTC Taipei, June 2, 2026) — Mixed Read-Through</w:t>
      </w:r>
    </w:p>
    <w:p>
      <w:r>
        <w:rPr>
          <w:rFonts w:ascii="Calibri" w:hAnsi="Calibri"/>
          <w:b/>
          <w:color w:val="525866"/>
          <w:sz w:val="22"/>
        </w:rPr>
        <w:t xml:space="preserve">AI Infrastructure Demand 'Gone Parabolic' (Positive for DCAI): </w:t>
      </w:r>
      <w:r>
        <w:rPr>
          <w:rFonts w:ascii="Calibri" w:hAnsi="Calibri"/>
          <w:color w:val="525866"/>
          <w:sz w:val="22"/>
        </w:rPr>
        <w:t>NVIDIA guided Q2 FY2027 (calendar Q2 2026) revenue to $91B (+~19% sequential), stating demand has 'gone parabolic' driven by agentic AI. Hyperscale CapEx is forecast to exceed $1 trillion in 2027. NVIDIA confirmed 'every major hyperscaler, every cloud provider and every major model maker' is deploying Blackwell. This level of AI infrastructure investment is a direct tailwind for Intel's Xeon server CPU business, as CPUs are deployed alongside GPUs in every AI data center rack.</w:t>
      </w:r>
    </w:p>
    <w:p>
      <w:r>
        <w:rPr>
          <w:rFonts w:ascii="Calibri" w:hAnsi="Calibri"/>
          <w:b/>
          <w:color w:val="525866"/>
          <w:sz w:val="22"/>
        </w:rPr>
        <w:t xml:space="preserve">Vera CPU — $20B Target (Competitive Risk): </w:t>
      </w:r>
      <w:r>
        <w:rPr>
          <w:rFonts w:ascii="Calibri" w:hAnsi="Calibri"/>
          <w:color w:val="525866"/>
          <w:sz w:val="22"/>
        </w:rPr>
        <w:t xml:space="preserve">NVIDIA disclosed visibility to 'nearly $20 billion in total CPU revenue this year' from stand-alone Vera CPUs, targeting AI data centers. Jensen Huang stated 'every data center with NVIDIA GPUs will likely use Vera' and claimed Vera is '1.8x faster than x86 architecture' in certain workloads. </w:t>
      </w:r>
      <w:r>
        <w:rPr>
          <w:rFonts w:ascii="Calibri" w:hAnsi="Calibri"/>
          <w:b/>
          <w:color w:val="525866"/>
          <w:sz w:val="22"/>
        </w:rPr>
        <w:t>This is the most significant competitive risk read-through for Intel's server CPU business</w:t>
      </w:r>
      <w:r>
        <w:rPr>
          <w:rFonts w:ascii="Calibri" w:hAnsi="Calibri"/>
          <w:color w:val="525866"/>
          <w:sz w:val="22"/>
        </w:rPr>
        <w:t xml:space="preserve"> — though the near-term impact is limited as Vera production ramp begins in H2 2026 and Intel's Xeon remains the dominant deployed CPU in existing AI infrastructure.</w:t>
      </w:r>
    </w:p>
    <w:p>
      <w:r>
        <w:rPr>
          <w:rFonts w:ascii="Calibri" w:hAnsi="Calibri"/>
          <w:b/>
          <w:color w:val="525866"/>
          <w:sz w:val="22"/>
        </w:rPr>
        <w:t xml:space="preserve">Supply Constraints (Neutral): </w:t>
      </w:r>
      <w:r>
        <w:rPr>
          <w:rFonts w:ascii="Calibri" w:hAnsi="Calibri"/>
          <w:color w:val="525866"/>
          <w:sz w:val="22"/>
        </w:rPr>
        <w:t>NVIDIA stated it will be 'supply constrained throughout the entire life of Vera Rubin,' and increased total supply commitments to $145B in Q1. This confirms the broader semiconductor supply chain is tight, consistent with Intel's own supply-constrained narrative.</w:t>
      </w:r>
    </w:p>
    <w:p>
      <w:r>
        <w:rPr>
          <w:rFonts w:ascii="Calibri" w:hAnsi="Calibri"/>
          <w:b/>
          <w:color w:val="525866"/>
          <w:sz w:val="22"/>
        </w:rPr>
        <w:t xml:space="preserve">PC/Consumer Demand (Negative): </w:t>
      </w:r>
      <w:r>
        <w:rPr>
          <w:rFonts w:ascii="Calibri" w:hAnsi="Calibri"/>
          <w:color w:val="525866"/>
          <w:sz w:val="22"/>
        </w:rPr>
        <w:t>NVIDIA noted consumer demand 'fell modestly due to higher memory and system prices' in its edge computing segment. Consistent with Intel's CCG H2 headwind guidance.</w:t>
      </w:r>
    </w:p>
    <w:p>
      <w:pPr>
        <w:pStyle w:val="Heading3"/>
      </w:pPr>
      <w:r>
        <w:rPr>
          <w:rFonts w:ascii="Calibri" w:hAnsi="Calibri"/>
          <w:b/>
          <w:color w:val="3B4259"/>
          <w:sz w:val="24"/>
        </w:rPr>
        <w:t>Broadcom (Q2 FY2026 Earnings, June 3, 2026) — Positive Read-Through</w:t>
      </w:r>
    </w:p>
    <w:p>
      <w:r>
        <w:rPr>
          <w:rFonts w:ascii="Calibri" w:hAnsi="Calibri"/>
          <w:b/>
          <w:color w:val="525866"/>
          <w:sz w:val="22"/>
        </w:rPr>
        <w:t xml:space="preserve">AI Semiconductor Demand Insatiable (Positive): </w:t>
      </w:r>
      <w:r>
        <w:rPr>
          <w:rFonts w:ascii="Calibri" w:hAnsi="Calibri"/>
          <w:color w:val="525866"/>
          <w:sz w:val="22"/>
        </w:rPr>
        <w:t>Broadcom reported record Q2 AI semiconductor revenue of $10.8B (+143% YoY) with bookings of 'over $30B against the $10.8B shipped.' Guided Q3 AI semiconductor revenue to $16B (+200% YoY). Full-year 2026 AI semiconductor revenue guided to $56B (+180% vs. FY2025). Broadcom stated 'demand for XPUs and networking is simply insatiable.' This level of AI infrastructure investment directly supports Intel's DCAI server CPU demand.</w:t>
      </w:r>
    </w:p>
    <w:p>
      <w:r>
        <w:rPr>
          <w:rFonts w:ascii="Calibri" w:hAnsi="Calibri"/>
          <w:b/>
          <w:color w:val="525866"/>
          <w:sz w:val="22"/>
        </w:rPr>
        <w:t xml:space="preserve">Strong Server Demand Driving VMware Growth (Positive): </w:t>
      </w:r>
      <w:r>
        <w:rPr>
          <w:rFonts w:ascii="Calibri" w:hAnsi="Calibri"/>
          <w:color w:val="525866"/>
          <w:sz w:val="22"/>
        </w:rPr>
        <w:t>Broadcom noted 'strong server demand globally' is driving robust VMware Cloud Foundation 9.1 revenue, with VCF 9.1 explicitly supporting 'heterogeneous compute support across GPUs and CPU architectures, including AMD, Intel and NVIDIA platforms.' The 'high volume of core count of CPUs selling together with GPUs is driving some accelerated growth of our VMware business' — a trend expected to 'continue for the next multiple quarters.' This is a direct positive read-through for Intel Xeon demand.</w:t>
      </w:r>
    </w:p>
    <w:p>
      <w:r>
        <w:rPr>
          <w:rFonts w:ascii="Calibri" w:hAnsi="Calibri"/>
          <w:b/>
          <w:color w:val="525866"/>
          <w:sz w:val="22"/>
        </w:rPr>
        <w:t xml:space="preserve">Non-AI Semiconductor Recovery (Positive): </w:t>
      </w:r>
      <w:r>
        <w:rPr>
          <w:rFonts w:ascii="Calibri" w:hAnsi="Calibri"/>
          <w:color w:val="525866"/>
          <w:sz w:val="22"/>
        </w:rPr>
        <w:t>Broadcom's non-AI semiconductor bookings 'exceeded $6B' in Q2, described as 'a clear indication we are on the path towards a full cyclical recovery.' Non-AI semiconductor revenue guided up 12% YoY in Q3. This broader recovery is a positive backdrop for Intel's diverse semiconductor portfolio.</w:t>
      </w:r>
    </w:p>
    <w:p>
      <w:r>
        <w:rPr>
          <w:rFonts w:ascii="Calibri" w:hAnsi="Calibri"/>
          <w:b/>
          <w:color w:val="525866"/>
          <w:sz w:val="22"/>
        </w:rPr>
        <w:t xml:space="preserve">Demand Visibility Extended to 2028 (Positive): </w:t>
      </w:r>
      <w:r>
        <w:rPr>
          <w:rFonts w:ascii="Calibri" w:hAnsi="Calibri"/>
          <w:color w:val="525866"/>
          <w:sz w:val="22"/>
        </w:rPr>
        <w:t>Broadcom stated 'our visibility runs all the way to 2028 right now' — up from 2027 three months ago — driven by customers placing orders early to align power and infrastructure. This extended visibility supports Intel's own LTA strategy and the durability of server CPU demand.</w:t>
      </w:r>
    </w:p>
    <w:p>
      <w:pPr>
        <w:pStyle w:val="Heading3"/>
      </w:pPr>
      <w:r>
        <w:rPr>
          <w:rFonts w:ascii="Calibri" w:hAnsi="Calibri"/>
          <w:b/>
          <w:color w:val="3B4259"/>
          <w:sz w:val="24"/>
        </w:rPr>
        <w:t>Micron Technology (Q3 FY2026 Earnings, June 24, 2026) — Positive with Gross Margin Caution</w:t>
      </w:r>
    </w:p>
    <w:p>
      <w:r>
        <w:rPr>
          <w:rFonts w:ascii="Calibri" w:hAnsi="Calibri"/>
          <w:b/>
          <w:color w:val="525866"/>
          <w:sz w:val="22"/>
        </w:rPr>
        <w:t xml:space="preserve">Server Unit Growth Upgraded (Positive): </w:t>
      </w:r>
      <w:r>
        <w:rPr>
          <w:rFonts w:ascii="Calibri" w:hAnsi="Calibri"/>
          <w:color w:val="525866"/>
          <w:sz w:val="22"/>
        </w:rPr>
        <w:t xml:space="preserve">Micron raised its calendar 2026 industry server unit growth forecast from 'low double digits' to </w:t>
      </w:r>
      <w:r>
        <w:rPr>
          <w:rFonts w:ascii="Calibri" w:hAnsi="Calibri"/>
          <w:b/>
          <w:color w:val="525866"/>
          <w:sz w:val="22"/>
        </w:rPr>
        <w:t>'high teens percent'</w:t>
      </w:r>
      <w:r>
        <w:rPr>
          <w:rFonts w:ascii="Calibri" w:hAnsi="Calibri"/>
          <w:color w:val="525866"/>
          <w:sz w:val="22"/>
        </w:rPr>
        <w:t>, driven by 'mid-teens growth in traditional servers and even stronger growth in servers with AI accelerators.' This is a direct positive read-through for Intel's DCAI and Xeon server CPU volumes in Q2 2026 and beyond.</w:t>
      </w:r>
    </w:p>
    <w:p>
      <w:r>
        <w:rPr>
          <w:rFonts w:ascii="Calibri" w:hAnsi="Calibri"/>
          <w:b/>
          <w:color w:val="525866"/>
          <w:sz w:val="22"/>
        </w:rPr>
        <w:t xml:space="preserve">Agentic AI Reshaping Data Center Architecture (Positive for CPU): </w:t>
      </w:r>
      <w:r>
        <w:rPr>
          <w:rFonts w:ascii="Calibri" w:hAnsi="Calibri"/>
          <w:color w:val="525866"/>
          <w:sz w:val="22"/>
        </w:rPr>
        <w:t>Micron stated 'Agentic AI is structurally reshaping data center infrastructure, extending beyond accelerator-only racks to include CPU racks for the agent control plane and program execution.' This directly validates Intel's thesis that CPU demand is growing alongside GPU demand in AI data centers.</w:t>
      </w:r>
    </w:p>
    <w:p>
      <w:r>
        <w:rPr>
          <w:rFonts w:ascii="Calibri" w:hAnsi="Calibri"/>
          <w:b/>
          <w:color w:val="525866"/>
          <w:sz w:val="22"/>
        </w:rPr>
        <w:t xml:space="preserve">Memory Shortage Persisting Through 2027+ (Gross Margin Risk): </w:t>
      </w:r>
      <w:r>
        <w:rPr>
          <w:rFonts w:ascii="Calibri" w:hAnsi="Calibri"/>
          <w:color w:val="525866"/>
          <w:sz w:val="22"/>
        </w:rPr>
        <w:t xml:space="preserve">Micron confirmed 'DRAM and NAND industry demand continues to significantly exceed industry supply' with 'tight conditions to persist beyond calendar 2027.' Micron stated it 'does not have line of sight as to when memory supply will be able to catch up with increasing demand.' </w:t>
      </w:r>
      <w:r>
        <w:rPr>
          <w:rFonts w:ascii="Calibri" w:hAnsi="Calibri"/>
          <w:b/>
          <w:color w:val="525866"/>
          <w:sz w:val="22"/>
        </w:rPr>
        <w:t>This is the most important gross margin risk read-through for Intel</w:t>
      </w:r>
      <w:r>
        <w:rPr>
          <w:rFonts w:ascii="Calibri" w:hAnsi="Calibri"/>
          <w:color w:val="525866"/>
          <w:sz w:val="22"/>
        </w:rPr>
        <w:t xml:space="preserve"> — rising memory input costs will pressure Intel's gross margins in H2 2026, consistent with the CFO's explicit warning on the Q1 call.</w:t>
      </w:r>
    </w:p>
    <w:p>
      <w:r>
        <w:rPr>
          <w:rFonts w:ascii="Calibri" w:hAnsi="Calibri"/>
          <w:b/>
          <w:color w:val="525866"/>
          <w:sz w:val="22"/>
        </w:rPr>
        <w:t xml:space="preserve">PC Revenue Growing Despite Unit Declines (Neutral): </w:t>
      </w:r>
      <w:r>
        <w:rPr>
          <w:rFonts w:ascii="Calibri" w:hAnsi="Calibri"/>
          <w:color w:val="525866"/>
          <w:sz w:val="22"/>
        </w:rPr>
        <w:t>Micron noted 'PC and smartphone industry revenue is expected to grow despite unit volume declines, reflecting resilient demand for high-end devices at higher prices.' This is consistent with Intel's CCG strategy of focusing on premium segments and AI PCs, though unit headwinds remain.</w:t>
      </w:r>
    </w:p>
    <w:p>
      <w:pPr>
        <w:pStyle w:val="Heading3"/>
      </w:pPr>
      <w:r>
        <w:rPr>
          <w:rFonts w:ascii="Calibri" w:hAnsi="Calibri"/>
          <w:b/>
          <w:color w:val="3B4259"/>
          <w:sz w:val="24"/>
        </w:rPr>
        <w:t>Applied Materials (Q2 FY2026 Earnings, May 14, 2026; DRAM &amp; Advanced Packaging Master Class, June 25, 2026) — Positive Read-Through</w:t>
      </w:r>
    </w:p>
    <w:p>
      <w:r>
        <w:rPr>
          <w:rFonts w:ascii="Calibri" w:hAnsi="Calibri"/>
          <w:b/>
          <w:color w:val="525866"/>
          <w:sz w:val="22"/>
        </w:rPr>
        <w:t xml:space="preserve">WFE Industry Growing &gt;30% in 2026 (Positive for Foundry): </w:t>
      </w:r>
      <w:r>
        <w:rPr>
          <w:rFonts w:ascii="Calibri" w:hAnsi="Calibri"/>
          <w:color w:val="525866"/>
          <w:sz w:val="22"/>
        </w:rPr>
        <w:t>Applied Materials raised its semiconductor equipment business growth forecast to 'more than 30% this calendar year,' with 'continued growth across this extended planning horizon into 2027 and beyond.' Most leading-edge logic and DRAM fabs are 'running at full capacity.' This is a positive read-through for Intel Foundry's manufacturing utilization and the broader investment cycle in advanced logic.</w:t>
      </w:r>
    </w:p>
    <w:p>
      <w:r>
        <w:rPr>
          <w:rFonts w:ascii="Calibri" w:hAnsi="Calibri"/>
          <w:b/>
          <w:color w:val="525866"/>
          <w:sz w:val="22"/>
        </w:rPr>
        <w:t xml:space="preserve">Agentic AI Driving Incremental CPU Demand (Positive): </w:t>
      </w:r>
      <w:r>
        <w:rPr>
          <w:rFonts w:ascii="Calibri" w:hAnsi="Calibri"/>
          <w:color w:val="525866"/>
          <w:sz w:val="22"/>
        </w:rPr>
        <w:t>AMAT stated it is 'modeling incremental CPU demand, incremental DRAM and NAND demand' from agentic AI on top of prior forecasts, calling it 'a meaningful increase.' Agentic AI models 'require a computing architecture that is more CPU-intensive.' This is a direct positive read-through for Intel's server CPU business.</w:t>
      </w:r>
    </w:p>
    <w:p>
      <w:r>
        <w:rPr>
          <w:rFonts w:ascii="Calibri" w:hAnsi="Calibri"/>
          <w:b/>
          <w:color w:val="525866"/>
          <w:sz w:val="22"/>
        </w:rPr>
        <w:t xml:space="preserve">Advanced Packaging Revenue Growing &gt;50% in 2026 (Positive for IFS): </w:t>
      </w:r>
      <w:r>
        <w:rPr>
          <w:rFonts w:ascii="Calibri" w:hAnsi="Calibri"/>
          <w:color w:val="525866"/>
          <w:sz w:val="22"/>
        </w:rPr>
        <w:t>AMAT expects packaging revenues to grow 'more than 50% in calendar 2026,' with strong growth expected in 2027 as well. This validates Intel Foundry's advanced packaging (EMIB) strategy, which management described as approaching 'billions of dollars annually' in backlog.</w:t>
      </w:r>
    </w:p>
    <w:p>
      <w:r>
        <w:rPr>
          <w:rFonts w:ascii="Calibri" w:hAnsi="Calibri"/>
          <w:b/>
          <w:color w:val="525866"/>
          <w:sz w:val="22"/>
        </w:rPr>
        <w:t xml:space="preserve">Gate-All-Around Transition Driving Record Foundry Revenue (Positive): </w:t>
      </w:r>
      <w:r>
        <w:rPr>
          <w:rFonts w:ascii="Calibri" w:hAnsi="Calibri"/>
          <w:color w:val="525866"/>
          <w:sz w:val="22"/>
        </w:rPr>
        <w:t>AMAT reported 'record foundry revenue' in Q2 FY2026 driven by 'the transition to gate-all-around nodes' — the same technology Intel is deploying in 18A (RibbonFET). This confirms the industry investment cycle is aligned with Intel's manufacturing roadmap.</w:t>
      </w:r>
    </w:p>
    <w:p>
      <w:pPr>
        <w:pStyle w:val="Heading3"/>
      </w:pPr>
      <w:r>
        <w:rPr>
          <w:rFonts w:ascii="Calibri" w:hAnsi="Calibri"/>
          <w:b/>
          <w:color w:val="3B4259"/>
          <w:sz w:val="24"/>
        </w:rPr>
        <w:t>TSMC (Q2 2026 Earnings, July 16, 2026) — Positive Read-Through</w:t>
      </w:r>
    </w:p>
    <w:p>
      <w:r>
        <w:rPr>
          <w:rFonts w:ascii="Calibri" w:hAnsi="Calibri"/>
          <w:b/>
          <w:color w:val="525866"/>
          <w:sz w:val="22"/>
        </w:rPr>
        <w:t xml:space="preserve">AI Demand 'Stronger and Stronger' (Positive): </w:t>
      </w:r>
      <w:r>
        <w:rPr>
          <w:rFonts w:ascii="Calibri" w:hAnsi="Calibri"/>
          <w:color w:val="525866"/>
          <w:sz w:val="22"/>
        </w:rPr>
        <w:t>TSMC guided Q3 2026 revenue to $44.6–$45.8B (+37% YoY at midpoint) and raised its full-year 2026 revenue growth forecast to 'slightly above 40% YoY.' Management stated AI demand is 'stronger and stronger and stronger' and raised its full-year 2026 CapEx budget to $60–$64B (from $52–$56B). TSMC confirmed demand for 3nm and below is 'really big' relative to supply. This level of AI-driven investment is a direct tailwind for Intel's DCAI business.</w:t>
      </w:r>
    </w:p>
    <w:p>
      <w:r>
        <w:rPr>
          <w:rFonts w:ascii="Calibri" w:hAnsi="Calibri"/>
          <w:b/>
          <w:color w:val="525866"/>
          <w:sz w:val="22"/>
        </w:rPr>
        <w:t xml:space="preserve">CPU Resurgence in AI Data Centers (Positive): </w:t>
      </w:r>
      <w:r>
        <w:rPr>
          <w:rFonts w:ascii="Calibri" w:hAnsi="Calibri"/>
          <w:color w:val="525866"/>
          <w:sz w:val="22"/>
        </w:rPr>
        <w:t>TSMC stated 'the emergence of AI is leading to a resurgence in the role of CPUs in AI data centers, which drive more silicon demand in addition to AI accelerators.' TSMC noted it is 'collaborating closely with CPU customers' to support them with advanced technologies. While TSMC is a competitor to Intel Foundry, this commentary validates the CPU demand tailwind for Intel's products business.</w:t>
      </w:r>
    </w:p>
    <w:p>
      <w:r>
        <w:rPr>
          <w:rFonts w:ascii="Calibri" w:hAnsi="Calibri"/>
          <w:b/>
          <w:color w:val="525866"/>
          <w:sz w:val="22"/>
        </w:rPr>
        <w:t xml:space="preserve">PC/Consumer Segment Challenged (Negative): </w:t>
      </w:r>
      <w:r>
        <w:rPr>
          <w:rFonts w:ascii="Calibri" w:hAnsi="Calibri"/>
          <w:color w:val="525866"/>
          <w:sz w:val="22"/>
        </w:rPr>
        <w:t>TSMC noted 'consumer and price-sensitive end market segments are being challenged due to the impact of rising component prices and macroeconomic uncertainties.' Consistent with Intel's CCG H2 headwind guidance.</w:t>
      </w:r>
    </w:p>
    <w:p>
      <w:pPr>
        <w:pStyle w:val="Heading3"/>
      </w:pPr>
      <w:r>
        <w:rPr>
          <w:rFonts w:ascii="Calibri" w:hAnsi="Calibri"/>
          <w:b/>
          <w:color w:val="3B4259"/>
          <w:sz w:val="24"/>
        </w:rPr>
        <w:t>Qualcomm (Q2 FY2026 Earnings, April 29, 2026; Investor Day, June 24, 2026) — Competitive Risk</w:t>
      </w:r>
    </w:p>
    <w:p>
      <w:r>
        <w:rPr>
          <w:rFonts w:ascii="Calibri" w:hAnsi="Calibri"/>
          <w:b/>
          <w:color w:val="525866"/>
          <w:sz w:val="22"/>
        </w:rPr>
        <w:t xml:space="preserve">CPU Attach Rates 'Soaring' (Positive for Intel Near-Term): </w:t>
      </w:r>
      <w:r>
        <w:rPr>
          <w:rFonts w:ascii="Calibri" w:hAnsi="Calibri"/>
          <w:color w:val="525866"/>
          <w:sz w:val="22"/>
        </w:rPr>
        <w:t>Qualcomm's data center GM stated at Investor Day: 'token counts are skyrocketing... CPU attach rates are soaring through the roof. You can't find CPUs anywhere. There have already been bought up.' This confirms the acute CPU supply shortage that Intel has been navigating and validates Intel's supply-constrained demand narrative.</w:t>
      </w:r>
    </w:p>
    <w:p>
      <w:r>
        <w:rPr>
          <w:rFonts w:ascii="Calibri" w:hAnsi="Calibri"/>
          <w:b/>
          <w:color w:val="525866"/>
          <w:sz w:val="22"/>
        </w:rPr>
        <w:t xml:space="preserve">Meta CPU Supply Deal (Competitive Risk): </w:t>
      </w:r>
      <w:r>
        <w:rPr>
          <w:rFonts w:ascii="Calibri" w:hAnsi="Calibri"/>
          <w:color w:val="525866"/>
          <w:sz w:val="22"/>
        </w:rPr>
        <w:t xml:space="preserve">Qualcomm announced a 'multi-generational collaboration for Qualcomm to supply CPUs for Meta's data centers.' QCOM's C1000 data center CPU claims '&gt;30% faster than any competition' and '&gt;250 cores.' QCOM is targeting $5B data center revenue in FY27 and $15B in FY29. </w:t>
      </w:r>
      <w:r>
        <w:rPr>
          <w:rFonts w:ascii="Calibri" w:hAnsi="Calibri"/>
          <w:b/>
          <w:color w:val="525866"/>
          <w:sz w:val="22"/>
        </w:rPr>
        <w:t>This is a meaningful long-term competitive risk to Intel's server CPU market share</w:t>
      </w:r>
      <w:r>
        <w:rPr>
          <w:rFonts w:ascii="Calibri" w:hAnsi="Calibri"/>
          <w:color w:val="525866"/>
          <w:sz w:val="22"/>
        </w:rPr>
        <w:t>, though QCOM's ramp is back-half 2026 and beyond, limiting Q2 2026 impact.</w:t>
      </w:r>
    </w:p>
    <w:p>
      <w:r>
        <w:rPr>
          <w:rFonts w:ascii="Calibri" w:hAnsi="Calibri"/>
          <w:b/>
          <w:color w:val="525866"/>
          <w:sz w:val="22"/>
        </w:rPr>
        <w:t xml:space="preserve">Snapdragon X2 vs. Panther Lake (Competitive Risk for CCG): </w:t>
      </w:r>
      <w:r>
        <w:rPr>
          <w:rFonts w:ascii="Calibri" w:hAnsi="Calibri"/>
          <w:color w:val="525866"/>
          <w:sz w:val="22"/>
        </w:rPr>
        <w:t>Qualcomm claimed Snapdragon X2 'outperforms Intel's Panther Lake by nearly 30%' in agentic AI workloads. This is a direct competitive challenge to Intel's Core Ultra Series 3 (Panther Lake/18A) in the premium PC segment, though Intel's broad ecosystem compatibility and OEM relationships provide near-term insulation.</w:t>
      </w:r>
    </w:p>
    <w:p>
      <w:r>
        <w:rPr>
          <w:rFonts w:ascii="Calibri" w:hAnsi="Calibri"/>
          <w:b/>
          <w:color w:val="525866"/>
          <w:sz w:val="22"/>
        </w:rPr>
        <w:t xml:space="preserve">Memory Dynamics Impacting Handsets (Neutral): </w:t>
      </w:r>
      <w:r>
        <w:rPr>
          <w:rFonts w:ascii="Calibri" w:hAnsi="Calibri"/>
          <w:color w:val="525866"/>
          <w:sz w:val="22"/>
        </w:rPr>
        <w:t>QCOM noted 'the mobile market is dealing with the uncertainty of the memory situation,' with handset OEMs reducing build plans due to memory cost inflation. QCOM expects China Android revenue to bottom in fiscal Q3 (June quarter) and return to sequential growth in Q4. This is consistent with Intel's CCG H2 headwind narrative.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INTC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AMD</w:t>
            </w:r>
          </w:p>
        </w:tc>
        <w:tc>
          <w:tcPr>
            <w:tcW w:type="dxa" w:w="2160"/>
          </w:tcPr>
          <w:p>
            <w:r>
              <w:rPr>
                <w:rFonts w:ascii="Calibri" w:hAnsi="Calibri"/>
                <w:sz w:val="22"/>
              </w:rPr>
              <w:t>Q1 2026 Earnings, May 5</w:t>
            </w:r>
          </w:p>
        </w:tc>
        <w:tc>
          <w:tcPr>
            <w:tcW w:type="dxa" w:w="2160"/>
          </w:tcPr>
          <w:p>
            <w:r>
              <w:rPr>
                <w:rFonts w:ascii="Calibri" w:hAnsi="Calibri"/>
                <w:sz w:val="22"/>
              </w:rPr>
              <w:t>Server CPU revenue &gt;70% YoY in Q2; TAM raised to $120B by 2030; agentic AI driving CPU orchestration demand; H2 PC weakness confirmed</w:t>
            </w:r>
          </w:p>
        </w:tc>
        <w:tc>
          <w:tcPr>
            <w:tcW w:type="dxa" w:w="2160"/>
          </w:tcPr>
          <w:p>
            <w:r>
              <w:rPr>
                <w:rFonts w:ascii="Calibri" w:hAnsi="Calibri"/>
                <w:b/>
                <w:color w:val="30A46C"/>
                <w:sz w:val="22"/>
              </w:rPr>
              <w:t>Positive (DCAI) / Negative (CCG H2)</w:t>
            </w:r>
          </w:p>
        </w:tc>
      </w:tr>
      <w:tr>
        <w:tc>
          <w:tcPr>
            <w:tcW w:type="dxa" w:w="2160"/>
          </w:tcPr>
          <w:p>
            <w:r>
              <w:rPr>
                <w:rFonts w:ascii="Calibri" w:hAnsi="Calibri"/>
                <w:sz w:val="22"/>
              </w:rPr>
              <w:t>NVIDIA</w:t>
            </w:r>
          </w:p>
        </w:tc>
        <w:tc>
          <w:tcPr>
            <w:tcW w:type="dxa" w:w="2160"/>
          </w:tcPr>
          <w:p>
            <w:r>
              <w:rPr>
                <w:rFonts w:ascii="Calibri" w:hAnsi="Calibri"/>
                <w:sz w:val="22"/>
              </w:rPr>
              <w:t>Q1 FY27 Earnings, May 20; GTC Taipei, Jun 2</w:t>
            </w:r>
          </w:p>
        </w:tc>
        <w:tc>
          <w:tcPr>
            <w:tcW w:type="dxa" w:w="2160"/>
          </w:tcPr>
          <w:p>
            <w:r>
              <w:rPr>
                <w:rFonts w:ascii="Calibri" w:hAnsi="Calibri"/>
                <w:sz w:val="22"/>
              </w:rPr>
              <w:t>AI demand 'gone parabolic'; $91B Q2 guide; Vera CPU $20B target is long-term competitive risk; supply constrained</w:t>
            </w:r>
          </w:p>
        </w:tc>
        <w:tc>
          <w:tcPr>
            <w:tcW w:type="dxa" w:w="2160"/>
          </w:tcPr>
          <w:p>
            <w:r>
              <w:rPr>
                <w:rFonts w:ascii="Calibri" w:hAnsi="Calibri"/>
                <w:b/>
                <w:color w:val="30A46C"/>
                <w:sz w:val="22"/>
              </w:rPr>
              <w:t>Positive (AI infra) / Risk (Vera CPU)</w:t>
            </w:r>
          </w:p>
        </w:tc>
      </w:tr>
      <w:tr>
        <w:tc>
          <w:tcPr>
            <w:tcW w:type="dxa" w:w="2160"/>
          </w:tcPr>
          <w:p>
            <w:r>
              <w:rPr>
                <w:rFonts w:ascii="Calibri" w:hAnsi="Calibri"/>
                <w:sz w:val="22"/>
              </w:rPr>
              <w:t>Broadcom</w:t>
            </w:r>
          </w:p>
        </w:tc>
        <w:tc>
          <w:tcPr>
            <w:tcW w:type="dxa" w:w="2160"/>
          </w:tcPr>
          <w:p>
            <w:r>
              <w:rPr>
                <w:rFonts w:ascii="Calibri" w:hAnsi="Calibri"/>
                <w:sz w:val="22"/>
              </w:rPr>
              <w:t>Q2 FY26 Earnings, Jun 3</w:t>
            </w:r>
          </w:p>
        </w:tc>
        <w:tc>
          <w:tcPr>
            <w:tcW w:type="dxa" w:w="2160"/>
          </w:tcPr>
          <w:p>
            <w:r>
              <w:rPr>
                <w:rFonts w:ascii="Calibri" w:hAnsi="Calibri"/>
                <w:sz w:val="22"/>
              </w:rPr>
              <w:t>AI bookings $30B vs. $10.8B shipped; VMware growth driven by high CPU core counts with GPUs; non-AI recovery underway; visibility to 2028</w:t>
            </w:r>
          </w:p>
        </w:tc>
        <w:tc>
          <w:tcPr>
            <w:tcW w:type="dxa" w:w="2160"/>
          </w:tcPr>
          <w:p>
            <w:r>
              <w:rPr>
                <w:rFonts w:ascii="Calibri" w:hAnsi="Calibri"/>
                <w:b/>
                <w:color w:val="30A46C"/>
                <w:sz w:val="22"/>
              </w:rPr>
              <w:t>Positive</w:t>
            </w:r>
          </w:p>
        </w:tc>
      </w:tr>
      <w:tr>
        <w:tc>
          <w:tcPr>
            <w:tcW w:type="dxa" w:w="2160"/>
          </w:tcPr>
          <w:p>
            <w:r>
              <w:rPr>
                <w:rFonts w:ascii="Calibri" w:hAnsi="Calibri"/>
                <w:sz w:val="22"/>
              </w:rPr>
              <w:t>Micron</w:t>
            </w:r>
          </w:p>
        </w:tc>
        <w:tc>
          <w:tcPr>
            <w:tcW w:type="dxa" w:w="2160"/>
          </w:tcPr>
          <w:p>
            <w:r>
              <w:rPr>
                <w:rFonts w:ascii="Calibri" w:hAnsi="Calibri"/>
                <w:sz w:val="22"/>
              </w:rPr>
              <w:t>Q3 FY26 Earnings, Jun 24</w:t>
            </w:r>
          </w:p>
        </w:tc>
        <w:tc>
          <w:tcPr>
            <w:tcW w:type="dxa" w:w="2160"/>
          </w:tcPr>
          <w:p>
            <w:r>
              <w:rPr>
                <w:rFonts w:ascii="Calibri" w:hAnsi="Calibri"/>
                <w:sz w:val="22"/>
              </w:rPr>
              <w:t>Server unit growth raised to high-teens; agentic AI driving CPU rack demand; memory shortage persists through 2027+ (gross margin risk)</w:t>
            </w:r>
          </w:p>
        </w:tc>
        <w:tc>
          <w:tcPr>
            <w:tcW w:type="dxa" w:w="2160"/>
          </w:tcPr>
          <w:p>
            <w:r>
              <w:rPr>
                <w:rFonts w:ascii="Calibri" w:hAnsi="Calibri"/>
                <w:b/>
                <w:color w:val="30A46C"/>
                <w:sz w:val="22"/>
              </w:rPr>
              <w:t>Positive (volumes) / Risk (memory costs)</w:t>
            </w:r>
          </w:p>
        </w:tc>
      </w:tr>
      <w:tr>
        <w:tc>
          <w:tcPr>
            <w:tcW w:type="dxa" w:w="2160"/>
          </w:tcPr>
          <w:p>
            <w:r>
              <w:rPr>
                <w:rFonts w:ascii="Calibri" w:hAnsi="Calibri"/>
                <w:sz w:val="22"/>
              </w:rPr>
              <w:t>Applied Materials</w:t>
            </w:r>
          </w:p>
        </w:tc>
        <w:tc>
          <w:tcPr>
            <w:tcW w:type="dxa" w:w="2160"/>
          </w:tcPr>
          <w:p>
            <w:r>
              <w:rPr>
                <w:rFonts w:ascii="Calibri" w:hAnsi="Calibri"/>
                <w:sz w:val="22"/>
              </w:rPr>
              <w:t>Q2 FY26 Earnings, May 14; Master Class, Jun 25</w:t>
            </w:r>
          </w:p>
        </w:tc>
        <w:tc>
          <w:tcPr>
            <w:tcW w:type="dxa" w:w="2160"/>
          </w:tcPr>
          <w:p>
            <w:r>
              <w:rPr>
                <w:rFonts w:ascii="Calibri" w:hAnsi="Calibri"/>
                <w:sz w:val="22"/>
              </w:rPr>
              <w:t>WFE &gt;30% growth; agentic AI driving incremental CPU demand; advanced packaging &gt;50% growth; gate-all-around record foundry revenue</w:t>
            </w:r>
          </w:p>
        </w:tc>
        <w:tc>
          <w:tcPr>
            <w:tcW w:type="dxa" w:w="2160"/>
          </w:tcPr>
          <w:p>
            <w:r>
              <w:rPr>
                <w:rFonts w:ascii="Calibri" w:hAnsi="Calibri"/>
                <w:b/>
                <w:color w:val="30A46C"/>
                <w:sz w:val="22"/>
              </w:rPr>
              <w:t>Positive</w:t>
            </w:r>
          </w:p>
        </w:tc>
      </w:tr>
      <w:tr>
        <w:tc>
          <w:tcPr>
            <w:tcW w:type="dxa" w:w="2160"/>
          </w:tcPr>
          <w:p>
            <w:r>
              <w:rPr>
                <w:rFonts w:ascii="Calibri" w:hAnsi="Calibri"/>
                <w:sz w:val="22"/>
              </w:rPr>
              <w:t>TSMC</w:t>
            </w:r>
          </w:p>
        </w:tc>
        <w:tc>
          <w:tcPr>
            <w:tcW w:type="dxa" w:w="2160"/>
          </w:tcPr>
          <w:p>
            <w:r>
              <w:rPr>
                <w:rFonts w:ascii="Calibri" w:hAnsi="Calibri"/>
                <w:sz w:val="22"/>
              </w:rPr>
              <w:t>Q2 2026 Earnings, Jul 16</w:t>
            </w:r>
          </w:p>
        </w:tc>
        <w:tc>
          <w:tcPr>
            <w:tcW w:type="dxa" w:w="2160"/>
          </w:tcPr>
          <w:p>
            <w:r>
              <w:rPr>
                <w:rFonts w:ascii="Calibri" w:hAnsi="Calibri"/>
                <w:sz w:val="22"/>
              </w:rPr>
              <w:t>AI demand 'stronger and stronger'; CapEx raised to $60-64B; CPU resurgence in AI data centers confirmed; PC/consumer challenged</w:t>
            </w:r>
          </w:p>
        </w:tc>
        <w:tc>
          <w:tcPr>
            <w:tcW w:type="dxa" w:w="2160"/>
          </w:tcPr>
          <w:p>
            <w:r>
              <w:rPr>
                <w:rFonts w:ascii="Calibri" w:hAnsi="Calibri"/>
                <w:b/>
                <w:color w:val="30A46C"/>
                <w:sz w:val="22"/>
              </w:rPr>
              <w:t>Positive (DCAI) / Negative (CCG)</w:t>
            </w:r>
          </w:p>
        </w:tc>
      </w:tr>
      <w:tr>
        <w:tc>
          <w:tcPr>
            <w:tcW w:type="dxa" w:w="2160"/>
          </w:tcPr>
          <w:p>
            <w:r>
              <w:rPr>
                <w:rFonts w:ascii="Calibri" w:hAnsi="Calibri"/>
                <w:sz w:val="22"/>
              </w:rPr>
              <w:t>Qualcomm</w:t>
            </w:r>
          </w:p>
        </w:tc>
        <w:tc>
          <w:tcPr>
            <w:tcW w:type="dxa" w:w="2160"/>
          </w:tcPr>
          <w:p>
            <w:r>
              <w:rPr>
                <w:rFonts w:ascii="Calibri" w:hAnsi="Calibri"/>
                <w:sz w:val="22"/>
              </w:rPr>
              <w:t>Q2 FY26 Earnings, Apr 29; Investor Day, Jun 24</w:t>
            </w:r>
          </w:p>
        </w:tc>
        <w:tc>
          <w:tcPr>
            <w:tcW w:type="dxa" w:w="2160"/>
          </w:tcPr>
          <w:p>
            <w:r>
              <w:rPr>
                <w:rFonts w:ascii="Calibri" w:hAnsi="Calibri"/>
                <w:sz w:val="22"/>
              </w:rPr>
              <w:t>CPU attach rates 'soaring'; Meta CPU supply deal (competitive risk); Snapdragon X2 claims 30% advantage vs. Panther Lake; memory headwinds</w:t>
            </w:r>
          </w:p>
        </w:tc>
        <w:tc>
          <w:tcPr>
            <w:tcW w:type="dxa" w:w="2160"/>
          </w:tcPr>
          <w:p>
            <w:r>
              <w:rPr>
                <w:rFonts w:ascii="Calibri" w:hAnsi="Calibri"/>
                <w:b/>
                <w:color w:val="002FA7"/>
                <w:sz w:val="22"/>
              </w:rPr>
              <w:t>Mixed (near-term positive, long-term risk)</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in the post-Q1 window — all transactions are routine equity award vesting (code M/A/F) or a single small open-market sale by the CLO; the absence of discretionary insider buying at the post-Q1 surge levels ($80–$130) is notable but not alarming given the stock's rapid appreciation, and the absence of any large discretionary sales by the CEO or CFO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Miller Boise April</w:t>
            </w:r>
          </w:p>
        </w:tc>
        <w:tc>
          <w:tcPr>
            <w:tcW w:type="dxa" w:w="1440"/>
          </w:tcPr>
          <w:p>
            <w:r>
              <w:rPr>
                <w:rFonts w:ascii="Calibri" w:hAnsi="Calibri"/>
                <w:sz w:val="22"/>
              </w:rPr>
              <w:t>EVP and Chief Legal Officer</w:t>
            </w:r>
          </w:p>
        </w:tc>
        <w:tc>
          <w:tcPr>
            <w:tcW w:type="dxa" w:w="1440"/>
          </w:tcPr>
          <w:p>
            <w:r>
              <w:rPr>
                <w:rFonts w:ascii="Calibri" w:hAnsi="Calibri"/>
                <w:sz w:val="22"/>
              </w:rPr>
              <w:t>Open Market Sale</w:t>
            </w:r>
          </w:p>
        </w:tc>
        <w:tc>
          <w:tcPr>
            <w:tcW w:type="dxa" w:w="1440"/>
          </w:tcPr>
          <w:p>
            <w:r>
              <w:rPr>
                <w:rFonts w:ascii="Calibri" w:hAnsi="Calibri"/>
                <w:sz w:val="22"/>
              </w:rPr>
              <w:t>40,256 shares</w:t>
            </w:r>
          </w:p>
        </w:tc>
        <w:tc>
          <w:tcPr>
            <w:tcW w:type="dxa" w:w="1440"/>
          </w:tcPr>
          <w:p>
            <w:r>
              <w:rPr>
                <w:rFonts w:ascii="Calibri" w:hAnsi="Calibri"/>
                <w:sz w:val="22"/>
              </w:rPr>
              <w:t>May 1, 2026</w:t>
            </w:r>
          </w:p>
        </w:tc>
        <w:tc>
          <w:tcPr>
            <w:tcW w:type="dxa" w:w="1440"/>
          </w:tcPr>
          <w:p>
            <w:r>
              <w:rPr>
                <w:rFonts w:ascii="Calibri" w:hAnsi="Calibri"/>
                <w:sz w:val="22"/>
              </w:rPr>
              <w:t>Discretionary sale; stock was ~$99 at time of sale; no 10b5-1 plan indicated</w:t>
            </w:r>
          </w:p>
        </w:tc>
      </w:tr>
      <w:tr>
        <w:tc>
          <w:tcPr>
            <w:tcW w:type="dxa" w:w="1440"/>
          </w:tcPr>
          <w:p>
            <w:r>
              <w:rPr>
                <w:rFonts w:ascii="Calibri" w:hAnsi="Calibri"/>
                <w:sz w:val="22"/>
              </w:rPr>
              <w:t>Chandrasekaran Nagasubramaniyan</w:t>
            </w:r>
          </w:p>
        </w:tc>
        <w:tc>
          <w:tcPr>
            <w:tcW w:type="dxa" w:w="1440"/>
          </w:tcPr>
          <w:p>
            <w:r>
              <w:rPr>
                <w:rFonts w:ascii="Calibri" w:hAnsi="Calibri"/>
                <w:sz w:val="22"/>
              </w:rPr>
              <w:t>EVP, CT &amp; Ops Off, GM Foundry</w:t>
            </w:r>
          </w:p>
        </w:tc>
        <w:tc>
          <w:tcPr>
            <w:tcW w:type="dxa" w:w="1440"/>
          </w:tcPr>
          <w:p>
            <w:r>
              <w:rPr>
                <w:rFonts w:ascii="Calibri" w:hAnsi="Calibri"/>
                <w:sz w:val="22"/>
              </w:rPr>
              <w:t>Open Market Sale</w:t>
            </w:r>
          </w:p>
        </w:tc>
        <w:tc>
          <w:tcPr>
            <w:tcW w:type="dxa" w:w="1440"/>
          </w:tcPr>
          <w:p>
            <w:r>
              <w:rPr>
                <w:rFonts w:ascii="Calibri" w:hAnsi="Calibri"/>
                <w:sz w:val="22"/>
              </w:rPr>
              <w:t>21,024 shares</w:t>
            </w:r>
          </w:p>
        </w:tc>
        <w:tc>
          <w:tcPr>
            <w:tcW w:type="dxa" w:w="1440"/>
          </w:tcPr>
          <w:p>
            <w:r>
              <w:rPr>
                <w:rFonts w:ascii="Calibri" w:hAnsi="Calibri"/>
                <w:sz w:val="22"/>
              </w:rPr>
              <w:t>May 29, 2026</w:t>
            </w:r>
          </w:p>
        </w:tc>
        <w:tc>
          <w:tcPr>
            <w:tcW w:type="dxa" w:w="1440"/>
          </w:tcPr>
          <w:p>
            <w:r>
              <w:rPr>
                <w:rFonts w:ascii="Calibri" w:hAnsi="Calibri"/>
                <w:sz w:val="22"/>
              </w:rPr>
              <w:t>Discretionary sale; stock was ~$115 at time of sale; no 10b5-1 plan indicated</w:t>
            </w:r>
          </w:p>
        </w:tc>
      </w:tr>
      <w:tr>
        <w:tc>
          <w:tcPr>
            <w:tcW w:type="dxa" w:w="1440"/>
          </w:tcPr>
          <w:p>
            <w:r>
              <w:rPr>
                <w:rFonts w:ascii="Calibri" w:hAnsi="Calibri"/>
                <w:sz w:val="22"/>
              </w:rPr>
              <w:t>Zinsner David</w:t>
            </w:r>
          </w:p>
        </w:tc>
        <w:tc>
          <w:tcPr>
            <w:tcW w:type="dxa" w:w="1440"/>
          </w:tcPr>
          <w:p>
            <w:r>
              <w:rPr>
                <w:rFonts w:ascii="Calibri" w:hAnsi="Calibri"/>
                <w:sz w:val="22"/>
              </w:rPr>
              <w:t>EVP, CFO</w:t>
            </w:r>
          </w:p>
        </w:tc>
        <w:tc>
          <w:tcPr>
            <w:tcW w:type="dxa" w:w="1440"/>
          </w:tcPr>
          <w:p>
            <w:r>
              <w:rPr>
                <w:rFonts w:ascii="Calibri" w:hAnsi="Calibri"/>
                <w:sz w:val="22"/>
              </w:rPr>
              <w:t>Tax Withholding (Code F)</w:t>
            </w:r>
          </w:p>
        </w:tc>
        <w:tc>
          <w:tcPr>
            <w:tcW w:type="dxa" w:w="1440"/>
          </w:tcPr>
          <w:p>
            <w:r>
              <w:rPr>
                <w:rFonts w:ascii="Calibri" w:hAnsi="Calibri"/>
                <w:sz w:val="22"/>
              </w:rPr>
              <w:t>18,353 shares</w:t>
            </w:r>
          </w:p>
        </w:tc>
        <w:tc>
          <w:tcPr>
            <w:tcW w:type="dxa" w:w="1440"/>
          </w:tcPr>
          <w:p>
            <w:r>
              <w:rPr>
                <w:rFonts w:ascii="Calibri" w:hAnsi="Calibri"/>
                <w:sz w:val="22"/>
              </w:rPr>
              <w:t>June 1, 2026</w:t>
            </w:r>
          </w:p>
        </w:tc>
        <w:tc>
          <w:tcPr>
            <w:tcW w:type="dxa" w:w="1440"/>
          </w:tcPr>
          <w:p>
            <w:r>
              <w:rPr>
                <w:rFonts w:ascii="Calibri" w:hAnsi="Calibri"/>
                <w:sz w:val="22"/>
              </w:rPr>
              <w:t>Mandatory tax withholding on RSU vest; not a discretionary sale</w:t>
            </w:r>
          </w:p>
        </w:tc>
      </w:tr>
      <w:tr>
        <w:tc>
          <w:tcPr>
            <w:tcW w:type="dxa" w:w="1440"/>
          </w:tcPr>
          <w:p>
            <w:r>
              <w:rPr>
                <w:rFonts w:ascii="Calibri" w:hAnsi="Calibri"/>
                <w:sz w:val="22"/>
              </w:rPr>
              <w:t>Chandrasekaran Nagasubramaniyan</w:t>
            </w:r>
          </w:p>
        </w:tc>
        <w:tc>
          <w:tcPr>
            <w:tcW w:type="dxa" w:w="1440"/>
          </w:tcPr>
          <w:p>
            <w:r>
              <w:rPr>
                <w:rFonts w:ascii="Calibri" w:hAnsi="Calibri"/>
                <w:sz w:val="22"/>
              </w:rPr>
              <w:t>EVP, CT &amp; Ops Off, GM Foundry</w:t>
            </w:r>
          </w:p>
        </w:tc>
        <w:tc>
          <w:tcPr>
            <w:tcW w:type="dxa" w:w="1440"/>
          </w:tcPr>
          <w:p>
            <w:r>
              <w:rPr>
                <w:rFonts w:ascii="Calibri" w:hAnsi="Calibri"/>
                <w:sz w:val="22"/>
              </w:rPr>
              <w:t>Tax Withholding (Code F)</w:t>
            </w:r>
          </w:p>
        </w:tc>
        <w:tc>
          <w:tcPr>
            <w:tcW w:type="dxa" w:w="1440"/>
          </w:tcPr>
          <w:p>
            <w:r>
              <w:rPr>
                <w:rFonts w:ascii="Calibri" w:hAnsi="Calibri"/>
                <w:sz w:val="22"/>
              </w:rPr>
              <w:t>13,649 shares</w:t>
            </w:r>
          </w:p>
        </w:tc>
        <w:tc>
          <w:tcPr>
            <w:tcW w:type="dxa" w:w="1440"/>
          </w:tcPr>
          <w:p>
            <w:r>
              <w:rPr>
                <w:rFonts w:ascii="Calibri" w:hAnsi="Calibri"/>
                <w:sz w:val="22"/>
              </w:rPr>
              <w:t>April 30, 2026</w:t>
            </w:r>
          </w:p>
        </w:tc>
        <w:tc>
          <w:tcPr>
            <w:tcW w:type="dxa" w:w="1440"/>
          </w:tcPr>
          <w:p>
            <w:r>
              <w:rPr>
                <w:rFonts w:ascii="Calibri" w:hAnsi="Calibri"/>
                <w:sz w:val="22"/>
              </w:rPr>
              <w:t>Mandatory tax withholding on RSU vest; not a discretionary sale</w:t>
            </w:r>
          </w:p>
        </w:tc>
      </w:tr>
      <w:tr>
        <w:tc>
          <w:tcPr>
            <w:tcW w:type="dxa" w:w="1440"/>
          </w:tcPr>
          <w:p>
            <w:r>
              <w:rPr>
                <w:rFonts w:ascii="Calibri" w:hAnsi="Calibri"/>
                <w:sz w:val="22"/>
              </w:rPr>
              <w:t>Bawa Aparna</w:t>
            </w:r>
          </w:p>
        </w:tc>
        <w:tc>
          <w:tcPr>
            <w:tcW w:type="dxa" w:w="1440"/>
          </w:tcPr>
          <w:p>
            <w:r>
              <w:rPr>
                <w:rFonts w:ascii="Calibri" w:hAnsi="Calibri"/>
                <w:sz w:val="22"/>
              </w:rPr>
              <w:t>EVP, CLO &amp; CPO</w:t>
            </w:r>
          </w:p>
        </w:tc>
        <w:tc>
          <w:tcPr>
            <w:tcW w:type="dxa" w:w="1440"/>
          </w:tcPr>
          <w:p>
            <w:r>
              <w:rPr>
                <w:rFonts w:ascii="Calibri" w:hAnsi="Calibri"/>
                <w:sz w:val="22"/>
              </w:rPr>
              <w:t>Award Grant (Code A)</w:t>
            </w:r>
          </w:p>
        </w:tc>
        <w:tc>
          <w:tcPr>
            <w:tcW w:type="dxa" w:w="1440"/>
          </w:tcPr>
          <w:p>
            <w:r>
              <w:rPr>
                <w:rFonts w:ascii="Calibri" w:hAnsi="Calibri"/>
                <w:sz w:val="22"/>
              </w:rPr>
              <w:t>27,274 PSUs</w:t>
            </w:r>
          </w:p>
        </w:tc>
        <w:tc>
          <w:tcPr>
            <w:tcW w:type="dxa" w:w="1440"/>
          </w:tcPr>
          <w:p>
            <w:r>
              <w:rPr>
                <w:rFonts w:ascii="Calibri" w:hAnsi="Calibri"/>
                <w:sz w:val="22"/>
              </w:rPr>
              <w:t>May 30, 2026</w:t>
            </w:r>
          </w:p>
        </w:tc>
        <w:tc>
          <w:tcPr>
            <w:tcW w:type="dxa" w:w="1440"/>
          </w:tcPr>
          <w:p>
            <w:r>
              <w:rPr>
                <w:rFonts w:ascii="Calibri" w:hAnsi="Calibri"/>
                <w:sz w:val="22"/>
              </w:rPr>
              <w:t>Performance Stock Unit grant; not a market transaction</w:t>
            </w:r>
          </w:p>
        </w:tc>
      </w:tr>
      <w:tr>
        <w:tc>
          <w:tcPr>
            <w:tcW w:type="dxa" w:w="1440"/>
          </w:tcPr>
          <w:p>
            <w:r>
              <w:rPr>
                <w:rFonts w:ascii="Calibri" w:hAnsi="Calibri"/>
                <w:sz w:val="22"/>
              </w:rPr>
              <w:t>Katouzian Aliyar</w:t>
            </w:r>
          </w:p>
        </w:tc>
        <w:tc>
          <w:tcPr>
            <w:tcW w:type="dxa" w:w="1440"/>
          </w:tcPr>
          <w:p>
            <w:r>
              <w:rPr>
                <w:rFonts w:ascii="Calibri" w:hAnsi="Calibri"/>
                <w:sz w:val="22"/>
              </w:rPr>
              <w:t>EVP, GM CC &amp; Physical AI Grp</w:t>
            </w:r>
          </w:p>
        </w:tc>
        <w:tc>
          <w:tcPr>
            <w:tcW w:type="dxa" w:w="1440"/>
          </w:tcPr>
          <w:p>
            <w:r>
              <w:rPr>
                <w:rFonts w:ascii="Calibri" w:hAnsi="Calibri"/>
                <w:sz w:val="22"/>
              </w:rPr>
              <w:t>Award Grant (Code A)</w:t>
            </w:r>
          </w:p>
        </w:tc>
        <w:tc>
          <w:tcPr>
            <w:tcW w:type="dxa" w:w="1440"/>
          </w:tcPr>
          <w:p>
            <w:r>
              <w:rPr>
                <w:rFonts w:ascii="Calibri" w:hAnsi="Calibri"/>
                <w:sz w:val="22"/>
              </w:rPr>
              <w:t>32,729 PSUs</w:t>
            </w:r>
          </w:p>
        </w:tc>
        <w:tc>
          <w:tcPr>
            <w:tcW w:type="dxa" w:w="1440"/>
          </w:tcPr>
          <w:p>
            <w:r>
              <w:rPr>
                <w:rFonts w:ascii="Calibri" w:hAnsi="Calibri"/>
                <w:sz w:val="22"/>
              </w:rPr>
              <w:t>May 30, 2026</w:t>
            </w:r>
          </w:p>
        </w:tc>
        <w:tc>
          <w:tcPr>
            <w:tcW w:type="dxa" w:w="1440"/>
          </w:tcPr>
          <w:p>
            <w:r>
              <w:rPr>
                <w:rFonts w:ascii="Calibri" w:hAnsi="Calibri"/>
                <w:sz w:val="22"/>
              </w:rPr>
              <w:t>PSU grant to new EVP hire (ex-Qualcomm); reflects onboarding equity package</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RSU Grant (Code A)</w:t>
            </w:r>
          </w:p>
        </w:tc>
        <w:tc>
          <w:tcPr>
            <w:tcW w:type="dxa" w:w="1440"/>
          </w:tcPr>
          <w:p>
            <w:r>
              <w:rPr>
                <w:rFonts w:ascii="Calibri" w:hAnsi="Calibri"/>
                <w:sz w:val="22"/>
              </w:rPr>
              <w:t>2,782–4,284 RSUs each</w:t>
            </w:r>
          </w:p>
        </w:tc>
        <w:tc>
          <w:tcPr>
            <w:tcW w:type="dxa" w:w="1440"/>
          </w:tcPr>
          <w:p>
            <w:r>
              <w:rPr>
                <w:rFonts w:ascii="Calibri" w:hAnsi="Calibri"/>
                <w:sz w:val="22"/>
              </w:rPr>
              <w:t>May 13, 2026</w:t>
            </w:r>
          </w:p>
        </w:tc>
        <w:tc>
          <w:tcPr>
            <w:tcW w:type="dxa" w:w="1440"/>
          </w:tcPr>
          <w:p>
            <w:r>
              <w:rPr>
                <w:rFonts w:ascii="Calibri" w:hAnsi="Calibri"/>
                <w:sz w:val="22"/>
              </w:rPr>
              <w:t>Annual director RSU grants; routine compensation; not market transactions</w:t>
            </w:r>
          </w:p>
        </w:tc>
      </w:tr>
    </w:tbl>
    <w:p>
      <w:r>
        <w:rPr>
          <w:rFonts w:ascii="Calibri" w:hAnsi="Calibri"/>
          <w:b/>
          <w:color w:val="525866"/>
          <w:sz w:val="22"/>
        </w:rPr>
        <w:t xml:space="preserve">Analysis: </w:t>
      </w:r>
      <w:r>
        <w:rPr>
          <w:rFonts w:ascii="Calibri" w:hAnsi="Calibri"/>
          <w:color w:val="525866"/>
          <w:sz w:val="22"/>
        </w:rPr>
        <w:t>The two open-market sales (CLO Miller on May 1 and Foundry GM Chandrasekaran on May 29) are the only discretionary transactions in the period. Both are relatively small in size and occurred as the stock was surging post-Q1 earnings — the CLO sold at ~$99 and the Foundry GM sold at ~$115, both well below the subsequent peak of ~$141. Neither sale was flagged as a 10b5-1 planned sale. The CEO (Lip-Bu Tan) and CFO (David Zinsner) made no open-market sales, which is a mild positive signal. The large PSU grants to Bawa (CLO/CPO) and Katouzian (new EVP) reflect standard onboarding and retention equity, not market signals.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