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Intel Corporation (INTC)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INTC</w:t>
            </w:r>
          </w:p>
        </w:tc>
      </w:tr>
      <w:tr>
        <w:tc>
          <w:tcPr>
            <w:tcW w:type="dxa" w:w="4320"/>
          </w:tcPr>
          <w:p>
            <w:r>
              <w:rPr>
                <w:rFonts w:ascii="Calibri" w:hAnsi="Calibri"/>
                <w:b/>
                <w:sz w:val="22"/>
              </w:rPr>
              <w:t>Reporting Quarter</w:t>
            </w:r>
          </w:p>
        </w:tc>
        <w:tc>
          <w:tcPr>
            <w:tcW w:type="dxa" w:w="4320"/>
          </w:tcPr>
          <w:p>
            <w:r>
              <w:rPr>
                <w:rFonts w:ascii="Calibri" w:hAnsi="Calibri"/>
                <w:sz w:val="22"/>
              </w:rPr>
              <w:t>Q2 2026 (period ending June 28, 2026)</w:t>
            </w:r>
          </w:p>
        </w:tc>
      </w:tr>
      <w:tr>
        <w:tc>
          <w:tcPr>
            <w:tcW w:type="dxa" w:w="4320"/>
          </w:tcPr>
          <w:p>
            <w:r>
              <w:rPr>
                <w:rFonts w:ascii="Calibri" w:hAnsi="Calibri"/>
                <w:b/>
                <w:sz w:val="22"/>
              </w:rPr>
              <w:t>Earnings Date</w:t>
            </w:r>
          </w:p>
        </w:tc>
        <w:tc>
          <w:tcPr>
            <w:tcW w:type="dxa" w:w="4320"/>
          </w:tcPr>
          <w:p>
            <w:r>
              <w:rPr>
                <w:rFonts w:ascii="Calibri" w:hAnsi="Calibri"/>
                <w:sz w:val="22"/>
              </w:rPr>
              <w:t>July 23, 2026 — After Market Close</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consensus sits below guidance midpoint on both revenue and EPS, Intel has beaten on all three headline metrics for six consecutive quarters, and the most important swing factor is whether </w:t>
      </w:r>
      <w:r>
        <w:rPr>
          <w:rFonts w:ascii="Calibri" w:hAnsi="Calibri"/>
          <w:b/>
          <w:color w:val="525866"/>
          <w:sz w:val="22"/>
        </w:rPr>
        <w:t>DCAI revenue can sustain double-digit sequential growth</w:t>
      </w:r>
      <w:r>
        <w:rPr>
          <w:rFonts w:ascii="Calibri" w:hAnsi="Calibri"/>
          <w:color w:val="525866"/>
          <w:sz w:val="22"/>
        </w:rPr>
        <w:t xml:space="preserve"> as supply ramps and pricing actions take full effect.</w:t>
      </w:r>
    </w:p>
    <w:p>
      <w:r>
        <w:rPr>
          <w:rFonts w:ascii="Calibri" w:hAnsi="Calibri"/>
          <w:color w:val="525866"/>
          <w:sz w:val="22"/>
        </w:rPr>
        <w:t xml:space="preserve">Intel heads into Q2 2026 with a consensus bar that looks beatable: the Street is modeling ~$14.4B in revenue against management's $13.8–$14.8B guidance range (midpoint $14.3B), and non-GAAP EPS consensus of ~$0.22 sits above the guided $0.20 but still leaves room for upside given the pattern of Q1's $0.29 print versus a breakeven guide. </w:t>
      </w:r>
      <w:r>
        <w:rPr>
          <w:rFonts w:ascii="Calibri" w:hAnsi="Calibri"/>
          <w:b/>
          <w:color w:val="525866"/>
          <w:sz w:val="22"/>
        </w:rPr>
        <w:t>Management's tone on the Q1 call was the most constructive in years</w:t>
      </w:r>
      <w:r>
        <w:rPr>
          <w:rFonts w:ascii="Calibri" w:hAnsi="Calibri"/>
          <w:color w:val="525866"/>
          <w:sz w:val="22"/>
        </w:rPr>
        <w:t xml:space="preserve"> — server CPU demand outlook improved over the prior 90 days, double-digit unit growth is expected for the full year with momentum extending into 2027, and 18A yields are now running ahead of internal projections with the year-end target expected to be achieved by mid-2026. Estimate revisions since the Q1 print have been modestly positive, with Q2 revenue consensus edging up from ~$14.37B to ~$14.43B and EPS from ~$0.21 to ~$0.22, tracking directionally with guidance rather than diverging. </w:t>
      </w:r>
      <w:r>
        <w:rPr>
          <w:rFonts w:ascii="Calibri" w:hAnsi="Calibri"/>
          <w:b/>
          <w:color w:val="525866"/>
          <w:sz w:val="22"/>
        </w:rPr>
        <w:t>The stock surged ~24% on Q1 earnings day and has since pulled back ~27% from its June peak</w:t>
      </w:r>
      <w:r>
        <w:rPr>
          <w:rFonts w:ascii="Calibri" w:hAnsi="Calibri"/>
          <w:color w:val="525866"/>
          <w:sz w:val="22"/>
        </w:rPr>
        <w:t xml:space="preserve"> to ~$103, suggesting the market has partially digested the beat-and-raise and is now re-rating on execution risk and the Apple foundry news. The single biggest wildcard is the </w:t>
      </w:r>
      <w:r>
        <w:rPr>
          <w:rFonts w:ascii="Calibri" w:hAnsi="Calibri"/>
          <w:b/>
          <w:color w:val="525866"/>
          <w:sz w:val="22"/>
        </w:rPr>
        <w:t>Apple foundry deal</w:t>
      </w:r>
      <w:r>
        <w:rPr>
          <w:rFonts w:ascii="Calibri" w:hAnsi="Calibri"/>
          <w:color w:val="525866"/>
          <w:sz w:val="22"/>
        </w:rPr>
        <w:t xml:space="preserve"> — WSJ reported on July 13 that Apple plans to have Intel manufacture chips for both Macs and iPhones; any management commentary on the scope, timeline, or revenue contribution of this relationship could be the most market-moving element of the call, dwarfing the headline financial results.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low-to-fair bar</w:t>
      </w:r>
      <w:r>
        <w:rPr>
          <w:rFonts w:ascii="Calibri" w:hAnsi="Calibri"/>
          <w:color w:val="525866"/>
          <w:sz w:val="22"/>
        </w:rPr>
        <w:t xml:space="preserve"> on revenue (sitting at the high end of guidance midpoint) but a </w:t>
      </w:r>
      <w:r>
        <w:rPr>
          <w:rFonts w:ascii="Calibri" w:hAnsi="Calibri"/>
          <w:b/>
          <w:color w:val="525866"/>
          <w:sz w:val="22"/>
        </w:rPr>
        <w:t>slightly higher bar on gross margin</w:t>
      </w:r>
      <w:r>
        <w:rPr>
          <w:rFonts w:ascii="Calibri" w:hAnsi="Calibri"/>
          <w:color w:val="525866"/>
          <w:sz w:val="22"/>
        </w:rPr>
        <w:t xml:space="preserve"> given Q1’s 650bps beat; DCAI revenue is the bigger swing factor — management guided double-digit sequential growth and the Street is modeling ~$5.6B, a step up from Q1’s $5.1B.</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($B)</w:t>
            </w:r>
          </w:p>
        </w:tc>
        <w:tc>
          <w:tcPr>
            <w:tcW w:type="dxa" w:w="1234"/>
          </w:tcPr>
          <w:p>
            <w:r>
              <w:rPr>
                <w:rFonts w:ascii="Calibri" w:hAnsi="Calibri"/>
                <w:sz w:val="22"/>
              </w:rPr>
              <w:t>$13.58B</w:t>
            </w:r>
          </w:p>
        </w:tc>
        <w:tc>
          <w:tcPr>
            <w:tcW w:type="dxa" w:w="1234"/>
          </w:tcPr>
          <w:p>
            <w:r>
              <w:rPr>
                <w:rFonts w:ascii="Calibri" w:hAnsi="Calibri"/>
                <w:sz w:val="22"/>
              </w:rPr>
              <w:t>$12.86B</w:t>
            </w:r>
          </w:p>
        </w:tc>
        <w:tc>
          <w:tcPr>
            <w:tcW w:type="dxa" w:w="1234"/>
          </w:tcPr>
          <w:p>
            <w:r>
              <w:rPr>
                <w:rFonts w:ascii="Calibri" w:hAnsi="Calibri"/>
                <w:sz w:val="22"/>
              </w:rPr>
              <w:t>$14.43B</w:t>
            </w:r>
          </w:p>
        </w:tc>
        <w:tc>
          <w:tcPr>
            <w:tcW w:type="dxa" w:w="1234"/>
          </w:tcPr>
          <w:p>
            <w:r>
              <w:rPr>
                <w:rFonts w:ascii="Calibri" w:hAnsi="Calibri"/>
                <w:sz w:val="22"/>
              </w:rPr>
              <w:t>+12.2% YoY</w:t>
            </w:r>
          </w:p>
        </w:tc>
        <w:tc>
          <w:tcPr>
            <w:tcW w:type="dxa" w:w="1234"/>
          </w:tcPr>
          <w:p>
            <w:r>
              <w:rPr>
                <w:rFonts w:ascii="Calibri" w:hAnsi="Calibri"/>
                <w:sz w:val="22"/>
              </w:rPr>
              <w:t>$13.8B – $14.8B (mid: $14.3B)</w:t>
            </w:r>
          </w:p>
        </w:tc>
        <w:tc>
          <w:tcPr>
            <w:tcW w:type="dxa" w:w="1234"/>
          </w:tcPr>
          <w:p>
            <w:r>
              <w:rPr>
                <w:rFonts w:ascii="Calibri" w:hAnsi="Calibri"/>
                <w:sz w:val="22"/>
              </w:rPr>
              <w:t>+0.9% above mid</w:t>
            </w:r>
          </w:p>
        </w:tc>
      </w:tr>
      <w:tr>
        <w:tc>
          <w:tcPr>
            <w:tcW w:type="dxa" w:w="1234"/>
          </w:tcPr>
          <w:p>
            <w:r>
              <w:rPr>
                <w:rFonts w:ascii="Calibri" w:hAnsi="Calibri"/>
                <w:sz w:val="22"/>
              </w:rPr>
              <w:t>Non-GAAP Gross Margin (%)</w:t>
            </w:r>
          </w:p>
        </w:tc>
        <w:tc>
          <w:tcPr>
            <w:tcW w:type="dxa" w:w="1234"/>
          </w:tcPr>
          <w:p>
            <w:r>
              <w:rPr>
                <w:rFonts w:ascii="Calibri" w:hAnsi="Calibri"/>
                <w:sz w:val="22"/>
              </w:rPr>
              <w:t>41.0%</w:t>
            </w:r>
          </w:p>
        </w:tc>
        <w:tc>
          <w:tcPr>
            <w:tcW w:type="dxa" w:w="1234"/>
          </w:tcPr>
          <w:p>
            <w:r>
              <w:rPr>
                <w:rFonts w:ascii="Calibri" w:hAnsi="Calibri"/>
                <w:sz w:val="22"/>
              </w:rPr>
              <w:t>~29.7% (GAAP basis)</w:t>
            </w:r>
          </w:p>
        </w:tc>
        <w:tc>
          <w:tcPr>
            <w:tcW w:type="dxa" w:w="1234"/>
          </w:tcPr>
          <w:p>
            <w:r>
              <w:rPr>
                <w:rFonts w:ascii="Calibri" w:hAnsi="Calibri"/>
                <w:sz w:val="22"/>
              </w:rPr>
              <w:t>~39.0%</w:t>
            </w:r>
          </w:p>
        </w:tc>
        <w:tc>
          <w:tcPr>
            <w:tcW w:type="dxa" w:w="1234"/>
          </w:tcPr>
          <w:p>
            <w:r>
              <w:rPr>
                <w:rFonts w:ascii="Calibri" w:hAnsi="Calibri"/>
                <w:sz w:val="22"/>
              </w:rPr>
              <w:t>~+930bps YoY</w:t>
            </w:r>
          </w:p>
        </w:tc>
        <w:tc>
          <w:tcPr>
            <w:tcW w:type="dxa" w:w="1234"/>
          </w:tcPr>
          <w:p>
            <w:r>
              <w:rPr>
                <w:rFonts w:ascii="Calibri" w:hAnsi="Calibri"/>
                <w:sz w:val="22"/>
              </w:rPr>
              <w:t>39.0% (non-GAAP)</w:t>
            </w:r>
          </w:p>
        </w:tc>
        <w:tc>
          <w:tcPr>
            <w:tcW w:type="dxa" w:w="1234"/>
          </w:tcPr>
          <w:p>
            <w:r>
              <w:rPr>
                <w:rFonts w:ascii="Calibri" w:hAnsi="Calibri"/>
                <w:sz w:val="22"/>
              </w:rPr>
              <w:t>~At guidance midpoint</w:t>
            </w:r>
          </w:p>
        </w:tc>
      </w:tr>
      <w:tr>
        <w:tc>
          <w:tcPr>
            <w:tcW w:type="dxa" w:w="1234"/>
          </w:tcPr>
          <w:p>
            <w:r>
              <w:rPr>
                <w:rFonts w:ascii="Calibri" w:hAnsi="Calibri"/>
                <w:sz w:val="22"/>
              </w:rPr>
              <w:t>Non-GAAP EPS (Diluted)</w:t>
            </w:r>
          </w:p>
        </w:tc>
        <w:tc>
          <w:tcPr>
            <w:tcW w:type="dxa" w:w="1234"/>
          </w:tcPr>
          <w:p>
            <w:r>
              <w:rPr>
                <w:rFonts w:ascii="Calibri" w:hAnsi="Calibri"/>
                <w:sz w:val="22"/>
              </w:rPr>
              <w:t>$0.29</w:t>
            </w:r>
          </w:p>
        </w:tc>
        <w:tc>
          <w:tcPr>
            <w:tcW w:type="dxa" w:w="1234"/>
          </w:tcPr>
          <w:p>
            <w:r>
              <w:rPr>
                <w:rFonts w:ascii="Calibri" w:hAnsi="Calibri"/>
                <w:sz w:val="22"/>
              </w:rPr>
              <w:t>-$0.10</w:t>
            </w:r>
          </w:p>
        </w:tc>
        <w:tc>
          <w:tcPr>
            <w:tcW w:type="dxa" w:w="1234"/>
          </w:tcPr>
          <w:p>
            <w:r>
              <w:rPr>
                <w:rFonts w:ascii="Calibri" w:hAnsi="Calibri"/>
                <w:sz w:val="22"/>
              </w:rPr>
              <w:t>$0.22</w:t>
            </w:r>
          </w:p>
        </w:tc>
        <w:tc>
          <w:tcPr>
            <w:tcW w:type="dxa" w:w="1234"/>
          </w:tcPr>
          <w:p>
            <w:r>
              <w:rPr>
                <w:rFonts w:ascii="Calibri" w:hAnsi="Calibri"/>
                <w:sz w:val="22"/>
              </w:rPr>
              <w:t>N/M (prior year loss)</w:t>
            </w:r>
          </w:p>
        </w:tc>
        <w:tc>
          <w:tcPr>
            <w:tcW w:type="dxa" w:w="1234"/>
          </w:tcPr>
          <w:p>
            <w:r>
              <w:rPr>
                <w:rFonts w:ascii="Calibri" w:hAnsi="Calibri"/>
                <w:sz w:val="22"/>
              </w:rPr>
              <w:t>$0.20</w:t>
            </w:r>
          </w:p>
        </w:tc>
        <w:tc>
          <w:tcPr>
            <w:tcW w:type="dxa" w:w="1234"/>
          </w:tcPr>
          <w:p>
            <w:r>
              <w:rPr>
                <w:rFonts w:ascii="Calibri" w:hAnsi="Calibri"/>
                <w:sz w:val="22"/>
              </w:rPr>
              <w:t>+10% above guidance</w:t>
            </w:r>
          </w:p>
        </w:tc>
      </w:tr>
      <w:tr>
        <w:tc>
          <w:tcPr>
            <w:tcW w:type="dxa" w:w="1234"/>
          </w:tcPr>
          <w:p>
            <w:r>
              <w:rPr>
                <w:rFonts w:ascii="Calibri" w:hAnsi="Calibri"/>
                <w:sz w:val="22"/>
              </w:rPr>
              <w:t>DCAI Revenue ($B)</w:t>
            </w:r>
          </w:p>
        </w:tc>
        <w:tc>
          <w:tcPr>
            <w:tcW w:type="dxa" w:w="1234"/>
          </w:tcPr>
          <w:p>
            <w:r>
              <w:rPr>
                <w:rFonts w:ascii="Calibri" w:hAnsi="Calibri"/>
                <w:sz w:val="22"/>
              </w:rPr>
              <w:t>$5.05B</w:t>
            </w:r>
          </w:p>
        </w:tc>
        <w:tc>
          <w:tcPr>
            <w:tcW w:type="dxa" w:w="1234"/>
          </w:tcPr>
          <w:p>
            <w:r>
              <w:rPr>
                <w:rFonts w:ascii="Calibri" w:hAnsi="Calibri"/>
                <w:sz w:val="22"/>
              </w:rPr>
              <w:t>$3.94B</w:t>
            </w:r>
          </w:p>
        </w:tc>
        <w:tc>
          <w:tcPr>
            <w:tcW w:type="dxa" w:w="1234"/>
          </w:tcPr>
          <w:p>
            <w:r>
              <w:rPr>
                <w:rFonts w:ascii="Calibri" w:hAnsi="Calibri"/>
                <w:sz w:val="22"/>
              </w:rPr>
              <w:t>$5.59B</w:t>
            </w:r>
          </w:p>
        </w:tc>
        <w:tc>
          <w:tcPr>
            <w:tcW w:type="dxa" w:w="1234"/>
          </w:tcPr>
          <w:p>
            <w:r>
              <w:rPr>
                <w:rFonts w:ascii="Calibri" w:hAnsi="Calibri"/>
                <w:sz w:val="22"/>
              </w:rPr>
              <w:t>+41.9% YoY</w:t>
            </w:r>
          </w:p>
        </w:tc>
        <w:tc>
          <w:tcPr>
            <w:tcW w:type="dxa" w:w="1234"/>
          </w:tcPr>
          <w:p>
            <w:r>
              <w:rPr>
                <w:rFonts w:ascii="Calibri" w:hAnsi="Calibri"/>
                <w:sz w:val="22"/>
              </w:rPr>
              <w:t>Up double digits QoQ (mgmt. guided)</w:t>
            </w:r>
          </w:p>
        </w:tc>
        <w:tc>
          <w:tcPr>
            <w:tcW w:type="dxa" w:w="1234"/>
          </w:tcPr>
          <w:p>
            <w:r>
              <w:rPr>
                <w:rFonts w:ascii="Calibri" w:hAnsi="Calibri"/>
                <w:sz w:val="22"/>
              </w:rPr>
              <w:t>~+10.7% above Q1 actual (vs. guided double-digit QoQ)</w:t>
            </w:r>
          </w:p>
        </w:tc>
      </w:tr>
      <w:tr>
        <w:tc>
          <w:tcPr>
            <w:tcW w:type="dxa" w:w="1234"/>
          </w:tcPr>
          <w:p>
            <w:r>
              <w:rPr>
                <w:rFonts w:ascii="Calibri" w:hAnsi="Calibri"/>
                <w:sz w:val="22"/>
              </w:rPr>
              <w:t>CCG Revenue ($B)</w:t>
            </w:r>
          </w:p>
        </w:tc>
        <w:tc>
          <w:tcPr>
            <w:tcW w:type="dxa" w:w="1234"/>
          </w:tcPr>
          <w:p>
            <w:r>
              <w:rPr>
                <w:rFonts w:ascii="Calibri" w:hAnsi="Calibri"/>
                <w:sz w:val="22"/>
              </w:rPr>
              <w:t>$7.73B</w:t>
            </w:r>
          </w:p>
        </w:tc>
        <w:tc>
          <w:tcPr>
            <w:tcW w:type="dxa" w:w="1234"/>
          </w:tcPr>
          <w:p>
            <w:r>
              <w:rPr>
                <w:rFonts w:ascii="Calibri" w:hAnsi="Calibri"/>
                <w:sz w:val="22"/>
              </w:rPr>
              <w:t>$7.87B</w:t>
            </w:r>
          </w:p>
        </w:tc>
        <w:tc>
          <w:tcPr>
            <w:tcW w:type="dxa" w:w="1234"/>
          </w:tcPr>
          <w:p>
            <w:r>
              <w:rPr>
                <w:rFonts w:ascii="Calibri" w:hAnsi="Calibri"/>
                <w:sz w:val="22"/>
              </w:rPr>
              <w:t>$7.97B</w:t>
            </w:r>
          </w:p>
        </w:tc>
        <w:tc>
          <w:tcPr>
            <w:tcW w:type="dxa" w:w="1234"/>
          </w:tcPr>
          <w:p>
            <w:r>
              <w:rPr>
                <w:rFonts w:ascii="Calibri" w:hAnsi="Calibri"/>
                <w:sz w:val="22"/>
              </w:rPr>
              <w:t>+1.3% YoY</w:t>
            </w:r>
          </w:p>
        </w:tc>
        <w:tc>
          <w:tcPr>
            <w:tcW w:type="dxa" w:w="1234"/>
          </w:tcPr>
          <w:p>
            <w:r>
              <w:rPr>
                <w:rFonts w:ascii="Calibri" w:hAnsi="Calibri"/>
                <w:sz w:val="22"/>
              </w:rPr>
              <w:t>Sequential growth guided</w:t>
            </w:r>
          </w:p>
        </w:tc>
        <w:tc>
          <w:tcPr>
            <w:tcW w:type="dxa" w:w="1234"/>
          </w:tcPr>
          <w:p>
            <w:r>
              <w:rPr>
                <w:rFonts w:ascii="Calibri" w:hAnsi="Calibri"/>
                <w:sz w:val="22"/>
              </w:rPr>
              <w:t>~+3.1% above Q1 actual</w:t>
            </w:r>
          </w:p>
        </w:tc>
      </w:tr>
      <w:tr>
        <w:tc>
          <w:tcPr>
            <w:tcW w:type="dxa" w:w="1234"/>
          </w:tcPr>
          <w:p>
            <w:r>
              <w:rPr>
                <w:rFonts w:ascii="Calibri" w:hAnsi="Calibri"/>
                <w:sz w:val="22"/>
              </w:rPr>
              <w:t>Non-GAAP Operating Gross Profit ($B)</w:t>
            </w:r>
          </w:p>
        </w:tc>
        <w:tc>
          <w:tcPr>
            <w:tcW w:type="dxa" w:w="1234"/>
          </w:tcPr>
          <w:p>
            <w:r>
              <w:rPr>
                <w:rFonts w:ascii="Calibri" w:hAnsi="Calibri"/>
                <w:sz w:val="22"/>
              </w:rPr>
              <w:t>$5.57B</w:t>
            </w:r>
          </w:p>
        </w:tc>
        <w:tc>
          <w:tcPr>
            <w:tcW w:type="dxa" w:w="1234"/>
          </w:tcPr>
          <w:p>
            <w:r>
              <w:rPr>
                <w:rFonts w:ascii="Calibri" w:hAnsi="Calibri"/>
                <w:sz w:val="22"/>
              </w:rPr>
              <w:t>$3.81B</w:t>
            </w:r>
          </w:p>
        </w:tc>
        <w:tc>
          <w:tcPr>
            <w:tcW w:type="dxa" w:w="1234"/>
          </w:tcPr>
          <w:p>
            <w:r>
              <w:rPr>
                <w:rFonts w:ascii="Calibri" w:hAnsi="Calibri"/>
                <w:sz w:val="22"/>
              </w:rPr>
              <w:t>$5.66B</w:t>
            </w:r>
          </w:p>
        </w:tc>
        <w:tc>
          <w:tcPr>
            <w:tcW w:type="dxa" w:w="1234"/>
          </w:tcPr>
          <w:p>
            <w:r>
              <w:rPr>
                <w:rFonts w:ascii="Calibri" w:hAnsi="Calibri"/>
                <w:sz w:val="22"/>
              </w:rPr>
              <w:t>+48.6% YoY</w:t>
            </w:r>
          </w:p>
        </w:tc>
        <w:tc>
          <w:tcPr>
            <w:tcW w:type="dxa" w:w="1234"/>
          </w:tcPr>
          <w:p>
            <w:r>
              <w:rPr>
                <w:rFonts w:ascii="Calibri" w:hAnsi="Calibri"/>
                <w:sz w:val="22"/>
              </w:rPr>
              <w:t>N/A (derived from margin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Intel Q1 2026 Earnings Release (April 23, 2026). Revenue actuals: VA consensus/actuals. Non-GAAP EPS actuals from Intel Q1 2026 earnings release. Q2 2026 guidance from Intel Q1 2026 earnings call and press release.</w:t>
      </w:r>
    </w:p>
    <w:p>
      <w:pPr>
        <w:pStyle w:val="Heading3"/>
      </w:pPr>
      <w:r>
        <w:rPr>
          <w:rFonts w:ascii="Calibri" w:hAnsi="Calibri"/>
          <w:b/>
          <w:color w:val="3B4259"/>
          <w:sz w:val="24"/>
        </w:rPr>
        <w:t>Table 2 — Beat/Miss History: Top 2 KPIs (Last 8 Quarters)</w:t>
      </w:r>
    </w:p>
    <w:p>
      <w:r>
        <w:rPr>
          <w:rFonts w:ascii="Calibri" w:hAnsi="Calibri"/>
          <w:b/>
          <w:color w:val="525866"/>
          <w:sz w:val="22"/>
        </w:rPr>
        <w:t xml:space="preserve">Top 2 KPIs: </w:t>
      </w:r>
      <w:r>
        <w:rPr>
          <w:rFonts w:ascii="Calibri" w:hAnsi="Calibri"/>
          <w:color w:val="525866"/>
          <w:sz w:val="22"/>
        </w:rPr>
        <w:t>Revenue and Non-GAAP EPS (Diluted)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 ($B)</w:t>
            </w:r>
          </w:p>
        </w:tc>
        <w:tc>
          <w:tcPr>
            <w:tcW w:type="dxa" w:w="1080"/>
            <w:shd w:val="clear" w:color="auto" w:fill="3B4259"/>
          </w:tcPr>
          <w:p>
            <w:r>
              <w:rPr>
                <w:rFonts w:ascii="Calibri" w:hAnsi="Calibri"/>
                <w:b/>
                <w:color w:val="FFFFFF"/>
                <w:sz w:val="22"/>
              </w:rPr>
              <w:t>Revenue Consensus ($B)</w:t>
            </w:r>
          </w:p>
        </w:tc>
        <w:tc>
          <w:tcPr>
            <w:tcW w:type="dxa" w:w="1080"/>
            <w:shd w:val="clear" w:color="auto" w:fill="3B4259"/>
          </w:tcPr>
          <w:p>
            <w:r>
              <w:rPr>
                <w:rFonts w:ascii="Calibri" w:hAnsi="Calibri"/>
                <w:b/>
                <w:color w:val="FFFFFF"/>
                <w:sz w:val="22"/>
              </w:rPr>
              <w:t>Rev. Surprise %</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 %</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$13.58B</w:t>
            </w:r>
          </w:p>
        </w:tc>
        <w:tc>
          <w:tcPr>
            <w:tcW w:type="dxa" w:w="1080"/>
          </w:tcPr>
          <w:p>
            <w:r>
              <w:rPr>
                <w:rFonts w:ascii="Calibri" w:hAnsi="Calibri"/>
                <w:sz w:val="22"/>
              </w:rPr>
              <w:t>$12.39B</w:t>
            </w:r>
          </w:p>
        </w:tc>
        <w:tc>
          <w:tcPr>
            <w:tcW w:type="dxa" w:w="1080"/>
          </w:tcPr>
          <w:p>
            <w:r>
              <w:rPr>
                <w:rFonts w:ascii="Calibri" w:hAnsi="Calibri"/>
                <w:b/>
                <w:color w:val="30A46C"/>
                <w:sz w:val="22"/>
              </w:rPr>
              <w:t>+9.6%</w:t>
            </w:r>
          </w:p>
        </w:tc>
        <w:tc>
          <w:tcPr>
            <w:tcW w:type="dxa" w:w="1080"/>
          </w:tcPr>
          <w:p>
            <w:r>
              <w:rPr>
                <w:rFonts w:ascii="Calibri" w:hAnsi="Calibri"/>
                <w:sz w:val="22"/>
              </w:rPr>
              <w:t>$0.29</w:t>
            </w:r>
          </w:p>
        </w:tc>
        <w:tc>
          <w:tcPr>
            <w:tcW w:type="dxa" w:w="1080"/>
          </w:tcPr>
          <w:p>
            <w:r>
              <w:rPr>
                <w:rFonts w:ascii="Calibri" w:hAnsi="Calibri"/>
                <w:sz w:val="22"/>
              </w:rPr>
              <w:t>$0.02</w:t>
            </w:r>
          </w:p>
        </w:tc>
        <w:tc>
          <w:tcPr>
            <w:tcW w:type="dxa" w:w="1080"/>
          </w:tcPr>
          <w:p>
            <w:r>
              <w:rPr>
                <w:rFonts w:ascii="Calibri" w:hAnsi="Calibri"/>
                <w:b/>
                <w:color w:val="30A46C"/>
                <w:sz w:val="22"/>
              </w:rPr>
              <w:t>+1,350%</w:t>
            </w:r>
          </w:p>
        </w:tc>
        <w:tc>
          <w:tcPr>
            <w:tcW w:type="dxa" w:w="1080"/>
          </w:tcPr>
          <w:p>
            <w:r>
              <w:rPr>
                <w:rFonts w:ascii="Calibri" w:hAnsi="Calibri"/>
                <w:sz w:val="22"/>
              </w:rPr>
              <w:t>Beat</w:t>
            </w:r>
          </w:p>
        </w:tc>
      </w:tr>
      <w:tr>
        <w:tc>
          <w:tcPr>
            <w:tcW w:type="dxa" w:w="1080"/>
          </w:tcPr>
          <w:p>
            <w:r>
              <w:rPr>
                <w:rFonts w:ascii="Calibri" w:hAnsi="Calibri"/>
                <w:sz w:val="22"/>
              </w:rPr>
              <w:t>Q4 2025</w:t>
            </w:r>
          </w:p>
        </w:tc>
        <w:tc>
          <w:tcPr>
            <w:tcW w:type="dxa" w:w="1080"/>
          </w:tcPr>
          <w:p>
            <w:r>
              <w:rPr>
                <w:rFonts w:ascii="Calibri" w:hAnsi="Calibri"/>
                <w:sz w:val="22"/>
              </w:rPr>
              <w:t>$13.67B</w:t>
            </w:r>
          </w:p>
        </w:tc>
        <w:tc>
          <w:tcPr>
            <w:tcW w:type="dxa" w:w="1080"/>
          </w:tcPr>
          <w:p>
            <w:r>
              <w:rPr>
                <w:rFonts w:ascii="Calibri" w:hAnsi="Calibri"/>
                <w:sz w:val="22"/>
              </w:rPr>
              <w:t>$13.41B</w:t>
            </w:r>
          </w:p>
        </w:tc>
        <w:tc>
          <w:tcPr>
            <w:tcW w:type="dxa" w:w="1080"/>
          </w:tcPr>
          <w:p>
            <w:r>
              <w:rPr>
                <w:rFonts w:ascii="Calibri" w:hAnsi="Calibri"/>
                <w:b/>
                <w:color w:val="30A46C"/>
                <w:sz w:val="22"/>
              </w:rPr>
              <w:t>+1.9%</w:t>
            </w:r>
          </w:p>
        </w:tc>
        <w:tc>
          <w:tcPr>
            <w:tcW w:type="dxa" w:w="1080"/>
          </w:tcPr>
          <w:p>
            <w:r>
              <w:rPr>
                <w:rFonts w:ascii="Calibri" w:hAnsi="Calibri"/>
                <w:sz w:val="22"/>
              </w:rPr>
              <w:t>$0.15</w:t>
            </w:r>
          </w:p>
        </w:tc>
        <w:tc>
          <w:tcPr>
            <w:tcW w:type="dxa" w:w="1080"/>
          </w:tcPr>
          <w:p>
            <w:r>
              <w:rPr>
                <w:rFonts w:ascii="Calibri" w:hAnsi="Calibri"/>
                <w:sz w:val="22"/>
              </w:rPr>
              <w:t>$0.09</w:t>
            </w:r>
          </w:p>
        </w:tc>
        <w:tc>
          <w:tcPr>
            <w:tcW w:type="dxa" w:w="1080"/>
          </w:tcPr>
          <w:p>
            <w:r>
              <w:rPr>
                <w:rFonts w:ascii="Calibri" w:hAnsi="Calibri"/>
                <w:b/>
                <w:color w:val="30A46C"/>
                <w:sz w:val="22"/>
              </w:rPr>
              <w:t>+67%</w:t>
            </w:r>
          </w:p>
        </w:tc>
        <w:tc>
          <w:tcPr>
            <w:tcW w:type="dxa" w:w="1080"/>
          </w:tcPr>
          <w:p>
            <w:r>
              <w:rPr>
                <w:rFonts w:ascii="Calibri" w:hAnsi="Calibri"/>
                <w:sz w:val="22"/>
              </w:rPr>
              <w:t>Beat</w:t>
            </w:r>
          </w:p>
        </w:tc>
      </w:tr>
      <w:tr>
        <w:tc>
          <w:tcPr>
            <w:tcW w:type="dxa" w:w="1080"/>
          </w:tcPr>
          <w:p>
            <w:r>
              <w:rPr>
                <w:rFonts w:ascii="Calibri" w:hAnsi="Calibri"/>
                <w:sz w:val="22"/>
              </w:rPr>
              <w:t>Q3 2025</w:t>
            </w:r>
          </w:p>
        </w:tc>
        <w:tc>
          <w:tcPr>
            <w:tcW w:type="dxa" w:w="1080"/>
          </w:tcPr>
          <w:p>
            <w:r>
              <w:rPr>
                <w:rFonts w:ascii="Calibri" w:hAnsi="Calibri"/>
                <w:sz w:val="22"/>
              </w:rPr>
              <w:t>$13.65B</w:t>
            </w:r>
          </w:p>
        </w:tc>
        <w:tc>
          <w:tcPr>
            <w:tcW w:type="dxa" w:w="1080"/>
          </w:tcPr>
          <w:p>
            <w:r>
              <w:rPr>
                <w:rFonts w:ascii="Calibri" w:hAnsi="Calibri"/>
                <w:sz w:val="22"/>
              </w:rPr>
              <w:t>$13.17B</w:t>
            </w:r>
          </w:p>
        </w:tc>
        <w:tc>
          <w:tcPr>
            <w:tcW w:type="dxa" w:w="1080"/>
          </w:tcPr>
          <w:p>
            <w:r>
              <w:rPr>
                <w:rFonts w:ascii="Calibri" w:hAnsi="Calibri"/>
                <w:b/>
                <w:color w:val="30A46C"/>
                <w:sz w:val="22"/>
              </w:rPr>
              <w:t>+3.6%</w:t>
            </w:r>
          </w:p>
        </w:tc>
        <w:tc>
          <w:tcPr>
            <w:tcW w:type="dxa" w:w="1080"/>
          </w:tcPr>
          <w:p>
            <w:r>
              <w:rPr>
                <w:rFonts w:ascii="Calibri" w:hAnsi="Calibri"/>
                <w:sz w:val="22"/>
              </w:rPr>
              <w:t>$0.23</w:t>
            </w:r>
          </w:p>
        </w:tc>
        <w:tc>
          <w:tcPr>
            <w:tcW w:type="dxa" w:w="1080"/>
          </w:tcPr>
          <w:p>
            <w:r>
              <w:rPr>
                <w:rFonts w:ascii="Calibri" w:hAnsi="Calibri"/>
                <w:sz w:val="22"/>
              </w:rPr>
              <w:t>$0.02</w:t>
            </w:r>
          </w:p>
        </w:tc>
        <w:tc>
          <w:tcPr>
            <w:tcW w:type="dxa" w:w="1080"/>
          </w:tcPr>
          <w:p>
            <w:r>
              <w:rPr>
                <w:rFonts w:ascii="Calibri" w:hAnsi="Calibri"/>
                <w:b/>
                <w:color w:val="30A46C"/>
                <w:sz w:val="22"/>
              </w:rPr>
              <w:t>+1,050%</w:t>
            </w:r>
          </w:p>
        </w:tc>
        <w:tc>
          <w:tcPr>
            <w:tcW w:type="dxa" w:w="1080"/>
          </w:tcPr>
          <w:p>
            <w:r>
              <w:rPr>
                <w:rFonts w:ascii="Calibri" w:hAnsi="Calibri"/>
                <w:sz w:val="22"/>
              </w:rPr>
              <w:t>Beat</w:t>
            </w:r>
          </w:p>
        </w:tc>
      </w:tr>
      <w:tr>
        <w:tc>
          <w:tcPr>
            <w:tcW w:type="dxa" w:w="1080"/>
          </w:tcPr>
          <w:p>
            <w:r>
              <w:rPr>
                <w:rFonts w:ascii="Calibri" w:hAnsi="Calibri"/>
                <w:sz w:val="22"/>
              </w:rPr>
              <w:t>Q2 2025</w:t>
            </w:r>
          </w:p>
        </w:tc>
        <w:tc>
          <w:tcPr>
            <w:tcW w:type="dxa" w:w="1080"/>
          </w:tcPr>
          <w:p>
            <w:r>
              <w:rPr>
                <w:rFonts w:ascii="Calibri" w:hAnsi="Calibri"/>
                <w:sz w:val="22"/>
              </w:rPr>
              <w:t>$12.86B</w:t>
            </w:r>
          </w:p>
        </w:tc>
        <w:tc>
          <w:tcPr>
            <w:tcW w:type="dxa" w:w="1080"/>
          </w:tcPr>
          <w:p>
            <w:r>
              <w:rPr>
                <w:rFonts w:ascii="Calibri" w:hAnsi="Calibri"/>
                <w:sz w:val="22"/>
              </w:rPr>
              <w:t>$11.93B</w:t>
            </w:r>
          </w:p>
        </w:tc>
        <w:tc>
          <w:tcPr>
            <w:tcW w:type="dxa" w:w="1080"/>
          </w:tcPr>
          <w:p>
            <w:r>
              <w:rPr>
                <w:rFonts w:ascii="Calibri" w:hAnsi="Calibri"/>
                <w:b/>
                <w:color w:val="30A46C"/>
                <w:sz w:val="22"/>
              </w:rPr>
              <w:t>+7.8%</w:t>
            </w:r>
          </w:p>
        </w:tc>
        <w:tc>
          <w:tcPr>
            <w:tcW w:type="dxa" w:w="1080"/>
          </w:tcPr>
          <w:p>
            <w:r>
              <w:rPr>
                <w:rFonts w:ascii="Calibri" w:hAnsi="Calibri"/>
                <w:sz w:val="22"/>
              </w:rPr>
              <w:t>-$0.10</w:t>
            </w:r>
          </w:p>
        </w:tc>
        <w:tc>
          <w:tcPr>
            <w:tcW w:type="dxa" w:w="1080"/>
          </w:tcPr>
          <w:p>
            <w:r>
              <w:rPr>
                <w:rFonts w:ascii="Calibri" w:hAnsi="Calibri"/>
                <w:sz w:val="22"/>
              </w:rPr>
              <w:t>$0.02</w:t>
            </w:r>
          </w:p>
        </w:tc>
        <w:tc>
          <w:tcPr>
            <w:tcW w:type="dxa" w:w="1080"/>
          </w:tcPr>
          <w:p>
            <w:r>
              <w:rPr>
                <w:rFonts w:ascii="Calibri" w:hAnsi="Calibri"/>
                <w:b/>
                <w:color w:val="E5484D"/>
                <w:sz w:val="22"/>
              </w:rPr>
              <w:t>N/M</w:t>
            </w:r>
          </w:p>
        </w:tc>
        <w:tc>
          <w:tcPr>
            <w:tcW w:type="dxa" w:w="1080"/>
          </w:tcPr>
          <w:p>
            <w:r>
              <w:rPr>
                <w:rFonts w:ascii="Calibri" w:hAnsi="Calibri"/>
                <w:sz w:val="22"/>
              </w:rPr>
              <w:t>Mixed</w:t>
            </w:r>
          </w:p>
        </w:tc>
      </w:tr>
      <w:tr>
        <w:tc>
          <w:tcPr>
            <w:tcW w:type="dxa" w:w="1080"/>
          </w:tcPr>
          <w:p>
            <w:r>
              <w:rPr>
                <w:rFonts w:ascii="Calibri" w:hAnsi="Calibri"/>
                <w:sz w:val="22"/>
              </w:rPr>
              <w:t>Q1 2025</w:t>
            </w:r>
          </w:p>
        </w:tc>
        <w:tc>
          <w:tcPr>
            <w:tcW w:type="dxa" w:w="1080"/>
          </w:tcPr>
          <w:p>
            <w:r>
              <w:rPr>
                <w:rFonts w:ascii="Calibri" w:hAnsi="Calibri"/>
                <w:sz w:val="22"/>
              </w:rPr>
              <w:t>$12.67B</w:t>
            </w:r>
          </w:p>
        </w:tc>
        <w:tc>
          <w:tcPr>
            <w:tcW w:type="dxa" w:w="1080"/>
          </w:tcPr>
          <w:p>
            <w:r>
              <w:rPr>
                <w:rFonts w:ascii="Calibri" w:hAnsi="Calibri"/>
                <w:sz w:val="22"/>
              </w:rPr>
              <w:t>$12.34B</w:t>
            </w:r>
          </w:p>
        </w:tc>
        <w:tc>
          <w:tcPr>
            <w:tcW w:type="dxa" w:w="1080"/>
          </w:tcPr>
          <w:p>
            <w:r>
              <w:rPr>
                <w:rFonts w:ascii="Calibri" w:hAnsi="Calibri"/>
                <w:b/>
                <w:color w:val="30A46C"/>
                <w:sz w:val="22"/>
              </w:rPr>
              <w:t>+2.7%</w:t>
            </w:r>
          </w:p>
        </w:tc>
        <w:tc>
          <w:tcPr>
            <w:tcW w:type="dxa" w:w="1080"/>
          </w:tcPr>
          <w:p>
            <w:r>
              <w:rPr>
                <w:rFonts w:ascii="Calibri" w:hAnsi="Calibri"/>
                <w:sz w:val="22"/>
              </w:rPr>
              <w:t>$0.13</w:t>
            </w:r>
          </w:p>
        </w:tc>
        <w:tc>
          <w:tcPr>
            <w:tcW w:type="dxa" w:w="1080"/>
          </w:tcPr>
          <w:p>
            <w:r>
              <w:rPr>
                <w:rFonts w:ascii="Calibri" w:hAnsi="Calibri"/>
                <w:sz w:val="22"/>
              </w:rPr>
              <w:t>$0.01</w:t>
            </w:r>
          </w:p>
        </w:tc>
        <w:tc>
          <w:tcPr>
            <w:tcW w:type="dxa" w:w="1080"/>
          </w:tcPr>
          <w:p>
            <w:r>
              <w:rPr>
                <w:rFonts w:ascii="Calibri" w:hAnsi="Calibri"/>
                <w:b/>
                <w:color w:val="30A46C"/>
                <w:sz w:val="22"/>
              </w:rPr>
              <w:t>+1,200%</w:t>
            </w:r>
          </w:p>
        </w:tc>
        <w:tc>
          <w:tcPr>
            <w:tcW w:type="dxa" w:w="1080"/>
          </w:tcPr>
          <w:p>
            <w:r>
              <w:rPr>
                <w:rFonts w:ascii="Calibri" w:hAnsi="Calibri"/>
                <w:sz w:val="22"/>
              </w:rPr>
              <w:t>Beat</w:t>
            </w:r>
          </w:p>
        </w:tc>
      </w:tr>
      <w:tr>
        <w:tc>
          <w:tcPr>
            <w:tcW w:type="dxa" w:w="1080"/>
          </w:tcPr>
          <w:p>
            <w:r>
              <w:rPr>
                <w:rFonts w:ascii="Calibri" w:hAnsi="Calibri"/>
                <w:sz w:val="22"/>
              </w:rPr>
              <w:t>Q4 2024</w:t>
            </w:r>
          </w:p>
        </w:tc>
        <w:tc>
          <w:tcPr>
            <w:tcW w:type="dxa" w:w="1080"/>
          </w:tcPr>
          <w:p>
            <w:r>
              <w:rPr>
                <w:rFonts w:ascii="Calibri" w:hAnsi="Calibri"/>
                <w:sz w:val="22"/>
              </w:rPr>
              <w:t>N/A — pre-VA window</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Q3 2024</w:t>
            </w:r>
          </w:p>
        </w:tc>
        <w:tc>
          <w:tcPr>
            <w:tcW w:type="dxa" w:w="1080"/>
          </w:tcPr>
          <w:p>
            <w:r>
              <w:rPr>
                <w:rFonts w:ascii="Calibri" w:hAnsi="Calibri"/>
                <w:sz w:val="22"/>
              </w:rPr>
              <w:t>N/A — pre-VA window</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Q2 2024</w:t>
            </w:r>
          </w:p>
        </w:tc>
        <w:tc>
          <w:tcPr>
            <w:tcW w:type="dxa" w:w="1080"/>
          </w:tcPr>
          <w:p>
            <w:r>
              <w:rPr>
                <w:rFonts w:ascii="Calibri" w:hAnsi="Calibri"/>
                <w:sz w:val="22"/>
              </w:rPr>
              <w:t>N/A — pre-VA window</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Intel has beaten revenue consensus in every quarter with available data (Q1 2025 through Q1 2026), with surprise magnitudes ranging from +2.7% to +9.6%; EPS beats have been dramatic given the very low consensus bar, reflecting the Street's difficulty modeling a company in rapid operational turnaround. The six-consecutive-quarter beat streak is the strongest signal heading into Q2.</w:t>
      </w:r>
    </w:p>
    <w:p>
      <w:r>
        <w:rPr>
          <w:rFonts w:ascii="Calibri" w:hAnsi="Calibri"/>
          <w:i/>
          <w:color w:val="525866"/>
          <w:sz w:val="22"/>
        </w:rPr>
        <w:t>Source: Visible Alpha Consensus and Actuals Data; Intel earnings releases.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unchanged since the Q1 2026 earnings call</w:t>
      </w:r>
      <w:r>
        <w:rPr>
          <w:rFonts w:ascii="Calibri" w:hAnsi="Calibri"/>
          <w:color w:val="525866"/>
          <w:sz w:val="22"/>
        </w:rPr>
        <w:t xml:space="preserve"> — no formal revision via 8-K or conference update — but management tone has continued to improve, with the Apple foundry deal (WSJ, July 13) and Fortinet customer win (July 21) representing material positive developments that could prompt upward guidance revision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$13.8B – $14.8B (mid: $14.3B)</w:t>
            </w:r>
          </w:p>
        </w:tc>
        <w:tc>
          <w:tcPr>
            <w:tcW w:type="dxa" w:w="1728"/>
          </w:tcPr>
          <w:p>
            <w:r>
              <w:rPr>
                <w:rFonts w:ascii="Calibri" w:hAnsi="Calibri"/>
                <w:sz w:val="22"/>
              </w:rPr>
              <w:t>—</w:t>
            </w:r>
          </w:p>
        </w:tc>
        <w:tc>
          <w:tcPr>
            <w:tcW w:type="dxa" w:w="1728"/>
          </w:tcPr>
          <w:p>
            <w:r>
              <w:rPr>
                <w:rFonts w:ascii="Calibri" w:hAnsi="Calibri"/>
                <w:sz w:val="22"/>
              </w:rPr>
              <w:t>$14.43B</w:t>
            </w:r>
          </w:p>
        </w:tc>
        <w:tc>
          <w:tcPr>
            <w:tcW w:type="dxa" w:w="1728"/>
          </w:tcPr>
          <w:p>
            <w:r>
              <w:rPr>
                <w:rFonts w:ascii="Calibri" w:hAnsi="Calibri"/>
                <w:sz w:val="22"/>
              </w:rPr>
              <w:t>No post-earnings revision; consensus +0.9% above midpoint</w:t>
            </w:r>
          </w:p>
        </w:tc>
      </w:tr>
      <w:tr>
        <w:tc>
          <w:tcPr>
            <w:tcW w:type="dxa" w:w="1728"/>
          </w:tcPr>
          <w:p>
            <w:r>
              <w:rPr>
                <w:rFonts w:ascii="Calibri" w:hAnsi="Calibri"/>
                <w:sz w:val="22"/>
              </w:rPr>
              <w:t>Q2 2026 Non-GAAP Gross Margin</w:t>
            </w:r>
          </w:p>
        </w:tc>
        <w:tc>
          <w:tcPr>
            <w:tcW w:type="dxa" w:w="1728"/>
          </w:tcPr>
          <w:p>
            <w:r>
              <w:rPr>
                <w:rFonts w:ascii="Calibri" w:hAnsi="Calibri"/>
                <w:sz w:val="22"/>
              </w:rPr>
              <w:t>39.0%</w:t>
            </w:r>
          </w:p>
        </w:tc>
        <w:tc>
          <w:tcPr>
            <w:tcW w:type="dxa" w:w="1728"/>
          </w:tcPr>
          <w:p>
            <w:r>
              <w:rPr>
                <w:rFonts w:ascii="Calibri" w:hAnsi="Calibri"/>
                <w:sz w:val="22"/>
              </w:rPr>
              <w:t>—</w:t>
            </w:r>
          </w:p>
        </w:tc>
        <w:tc>
          <w:tcPr>
            <w:tcW w:type="dxa" w:w="1728"/>
          </w:tcPr>
          <w:p>
            <w:r>
              <w:rPr>
                <w:rFonts w:ascii="Calibri" w:hAnsi="Calibri"/>
                <w:sz w:val="22"/>
              </w:rPr>
              <w:t>~39.2%</w:t>
            </w:r>
          </w:p>
        </w:tc>
        <w:tc>
          <w:tcPr>
            <w:tcW w:type="dxa" w:w="1728"/>
          </w:tcPr>
          <w:p>
            <w:r>
              <w:rPr>
                <w:rFonts w:ascii="Calibri" w:hAnsi="Calibri"/>
                <w:sz w:val="22"/>
              </w:rPr>
              <w:t>No revision; consensus essentially at guidance; 18A ramp mix headwind acknowledged</w:t>
            </w:r>
          </w:p>
        </w:tc>
      </w:tr>
      <w:tr>
        <w:tc>
          <w:tcPr>
            <w:tcW w:type="dxa" w:w="1728"/>
          </w:tcPr>
          <w:p>
            <w:r>
              <w:rPr>
                <w:rFonts w:ascii="Calibri" w:hAnsi="Calibri"/>
                <w:sz w:val="22"/>
              </w:rPr>
              <w:t>Q2 2026 Non-GAAP EPS</w:t>
            </w:r>
          </w:p>
        </w:tc>
        <w:tc>
          <w:tcPr>
            <w:tcW w:type="dxa" w:w="1728"/>
          </w:tcPr>
          <w:p>
            <w:r>
              <w:rPr>
                <w:rFonts w:ascii="Calibri" w:hAnsi="Calibri"/>
                <w:sz w:val="22"/>
              </w:rPr>
              <w:t>$0.20</w:t>
            </w:r>
          </w:p>
        </w:tc>
        <w:tc>
          <w:tcPr>
            <w:tcW w:type="dxa" w:w="1728"/>
          </w:tcPr>
          <w:p>
            <w:r>
              <w:rPr>
                <w:rFonts w:ascii="Calibri" w:hAnsi="Calibri"/>
                <w:sz w:val="22"/>
              </w:rPr>
              <w:t>—</w:t>
            </w:r>
          </w:p>
        </w:tc>
        <w:tc>
          <w:tcPr>
            <w:tcW w:type="dxa" w:w="1728"/>
          </w:tcPr>
          <w:p>
            <w:r>
              <w:rPr>
                <w:rFonts w:ascii="Calibri" w:hAnsi="Calibri"/>
                <w:sz w:val="22"/>
              </w:rPr>
              <w:t>$0.22</w:t>
            </w:r>
          </w:p>
        </w:tc>
        <w:tc>
          <w:tcPr>
            <w:tcW w:type="dxa" w:w="1728"/>
          </w:tcPr>
          <w:p>
            <w:r>
              <w:rPr>
                <w:rFonts w:ascii="Calibri" w:hAnsi="Calibri"/>
                <w:sz w:val="22"/>
              </w:rPr>
              <w:t>No revision; consensus +10% above guidance; Street pricing in modest beat</w:t>
            </w:r>
          </w:p>
        </w:tc>
      </w:tr>
      <w:tr>
        <w:tc>
          <w:tcPr>
            <w:tcW w:type="dxa" w:w="1728"/>
          </w:tcPr>
          <w:p>
            <w:r>
              <w:rPr>
                <w:rFonts w:ascii="Calibri" w:hAnsi="Calibri"/>
                <w:sz w:val="22"/>
              </w:rPr>
              <w:t>FY 2026 CapEx</w:t>
            </w:r>
          </w:p>
        </w:tc>
        <w:tc>
          <w:tcPr>
            <w:tcW w:type="dxa" w:w="1728"/>
          </w:tcPr>
          <w:p>
            <w:r>
              <w:rPr>
                <w:rFonts w:ascii="Calibri" w:hAnsi="Calibri"/>
                <w:sz w:val="22"/>
              </w:rPr>
              <w:t>Flat YoY (raised from flat-to-down at Q1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call; €5B Ireland investment announced July 13 consistent with flat-to-up CapEx posture</w:t>
            </w:r>
          </w:p>
        </w:tc>
      </w:tr>
      <w:tr>
        <w:tc>
          <w:tcPr>
            <w:tcW w:type="dxa" w:w="1728"/>
          </w:tcPr>
          <w:p>
            <w:r>
              <w:rPr>
                <w:rFonts w:ascii="Calibri" w:hAnsi="Calibri"/>
                <w:sz w:val="22"/>
              </w:rPr>
              <w:t>FY 2026 PC Unit TAM</w:t>
            </w:r>
          </w:p>
        </w:tc>
        <w:tc>
          <w:tcPr>
            <w:tcW w:type="dxa" w:w="1728"/>
          </w:tcPr>
          <w:p>
            <w:r>
              <w:rPr>
                <w:rFonts w:ascii="Calibri" w:hAnsi="Calibri"/>
                <w:sz w:val="22"/>
              </w:rPr>
              <w:t>Down low double-digit %</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H2 PC weakness expected; CCG modeled flattish from Q2 onward</w:t>
            </w:r>
          </w:p>
        </w:tc>
      </w:tr>
      <w:tr>
        <w:tc>
          <w:tcPr>
            <w:tcW w:type="dxa" w:w="1728"/>
          </w:tcPr>
          <w:p>
            <w:r>
              <w:rPr>
                <w:rFonts w:ascii="Calibri" w:hAnsi="Calibri"/>
                <w:sz w:val="22"/>
              </w:rPr>
              <w:t>FY 2026 Server CPU Unit Growth</w:t>
            </w:r>
          </w:p>
        </w:tc>
        <w:tc>
          <w:tcPr>
            <w:tcW w:type="dxa" w:w="1728"/>
          </w:tcPr>
          <w:p>
            <w:r>
              <w:rPr>
                <w:rFonts w:ascii="Calibri" w:hAnsi="Calibri"/>
                <w:sz w:val="22"/>
              </w:rPr>
              <w:t>Strong double-digit YoY; momentum into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Tone improving; TSMC (July 16) and Micron (June 24) both confirmed robust server demand</w:t>
            </w:r>
          </w:p>
        </w:tc>
      </w:tr>
      <w:tr>
        <w:tc>
          <w:tcPr>
            <w:tcW w:type="dxa" w:w="1728"/>
          </w:tcPr>
          <w:p>
            <w:r>
              <w:rPr>
                <w:rFonts w:ascii="Calibri" w:hAnsi="Calibri"/>
                <w:sz w:val="22"/>
              </w:rPr>
              <w:t>FY 2026 OpEx</w:t>
            </w:r>
          </w:p>
        </w:tc>
        <w:tc>
          <w:tcPr>
            <w:tcW w:type="dxa" w:w="1728"/>
          </w:tcPr>
          <w:p>
            <w:r>
              <w:rPr>
                <w:rFonts w:ascii="Calibri" w:hAnsi="Calibri"/>
                <w:sz w:val="22"/>
              </w:rPr>
              <w:t>Directionally ~$16B, likely higher due to inflation/variable comp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revision; management flagged inflationary pressures as upside risk to OpEx</w:t>
            </w:r>
          </w:p>
        </w:tc>
      </w:tr>
    </w:tbl>
    <w:p>
      <w:r>
        <w:rPr>
          <w:rFonts w:ascii="Calibri" w:hAnsi="Calibri"/>
          <w:i/>
          <w:color w:val="525866"/>
          <w:sz w:val="22"/>
        </w:rPr>
        <w:t>Source: Intel Q1 2026 Earnings Call Transcript and Press Release (April 23, 2026); Intel 8-K filings;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higher</w:t>
      </w:r>
      <w:r>
        <w:rPr>
          <w:rFonts w:ascii="Calibri" w:hAnsi="Calibri"/>
          <w:color w:val="525866"/>
          <w:sz w:val="22"/>
        </w:rPr>
        <w:t xml:space="preserve"> since the Q1 print — Q2 revenue consensus is up ~$0.6B and EPS up ~$0.01 from the post-earnings baseline — tracking directionally with guidance rather than diverging. The gap between consensus and guidance midpoint is narrow, suggesting the bar is neither stretched nor depressed; the risk is asymmetric to the upside given Intel’s six-quarter beat streak.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$14.37B</w:t>
            </w:r>
          </w:p>
        </w:tc>
        <w:tc>
          <w:tcPr>
            <w:tcW w:type="dxa" w:w="1080"/>
          </w:tcPr>
          <w:p>
            <w:r>
              <w:rPr>
                <w:rFonts w:ascii="Calibri" w:hAnsi="Calibri"/>
                <w:sz w:val="22"/>
              </w:rPr>
              <w:t>$14.43B</w:t>
            </w:r>
          </w:p>
        </w:tc>
        <w:tc>
          <w:tcPr>
            <w:tcW w:type="dxa" w:w="1080"/>
          </w:tcPr>
          <w:p>
            <w:r>
              <w:rPr>
                <w:rFonts w:ascii="Calibri" w:hAnsi="Calibri"/>
                <w:b/>
                <w:color w:val="30A46C"/>
                <w:sz w:val="22"/>
              </w:rPr>
              <w:t>+0.4%</w:t>
            </w:r>
          </w:p>
        </w:tc>
        <w:tc>
          <w:tcPr>
            <w:tcW w:type="dxa" w:w="1080"/>
          </w:tcPr>
          <w:p>
            <w:r>
              <w:rPr>
                <w:rFonts w:ascii="Calibri" w:hAnsi="Calibri"/>
                <w:sz w:val="22"/>
              </w:rPr>
              <w:t>$13.8B–$14.8B (mid $14.3B)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w:t>
            </w:r>
          </w:p>
        </w:tc>
      </w:tr>
      <w:tr>
        <w:tc>
          <w:tcPr>
            <w:tcW w:type="dxa" w:w="1080"/>
          </w:tcPr>
          <w:p>
            <w:r>
              <w:rPr>
                <w:rFonts w:ascii="Calibri" w:hAnsi="Calibri"/>
                <w:sz w:val="22"/>
              </w:rPr>
              <w:t>Revenue — FY 2026</w:t>
            </w:r>
          </w:p>
        </w:tc>
        <w:tc>
          <w:tcPr>
            <w:tcW w:type="dxa" w:w="1080"/>
          </w:tcPr>
          <w:p>
            <w:r>
              <w:rPr>
                <w:rFonts w:ascii="Calibri" w:hAnsi="Calibri"/>
                <w:sz w:val="22"/>
              </w:rPr>
              <w:t>$58.43B</w:t>
            </w:r>
          </w:p>
        </w:tc>
        <w:tc>
          <w:tcPr>
            <w:tcW w:type="dxa" w:w="1080"/>
          </w:tcPr>
          <w:p>
            <w:r>
              <w:rPr>
                <w:rFonts w:ascii="Calibri" w:hAnsi="Calibri"/>
                <w:sz w:val="22"/>
              </w:rPr>
              <w:t>$58.89B</w:t>
            </w:r>
          </w:p>
        </w:tc>
        <w:tc>
          <w:tcPr>
            <w:tcW w:type="dxa" w:w="1080"/>
          </w:tcPr>
          <w:p>
            <w:r>
              <w:rPr>
                <w:rFonts w:ascii="Calibri" w:hAnsi="Calibri"/>
                <w:b/>
                <w:color w:val="30A46C"/>
                <w:sz w:val="22"/>
              </w:rPr>
              <w:t>+0.8%</w:t>
            </w:r>
          </w:p>
        </w:tc>
        <w:tc>
          <w:tcPr>
            <w:tcW w:type="dxa" w:w="1080"/>
          </w:tcPr>
          <w:p>
            <w:r>
              <w:rPr>
                <w:rFonts w:ascii="Calibri" w:hAnsi="Calibri"/>
                <w:sz w:val="22"/>
              </w:rPr>
              <w:t>No formal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Q2 2026</w:t>
            </w:r>
          </w:p>
        </w:tc>
        <w:tc>
          <w:tcPr>
            <w:tcW w:type="dxa" w:w="1080"/>
          </w:tcPr>
          <w:p>
            <w:r>
              <w:rPr>
                <w:rFonts w:ascii="Calibri" w:hAnsi="Calibri"/>
                <w:sz w:val="22"/>
              </w:rPr>
              <w:t>$0.214</w:t>
            </w:r>
          </w:p>
        </w:tc>
        <w:tc>
          <w:tcPr>
            <w:tcW w:type="dxa" w:w="1080"/>
          </w:tcPr>
          <w:p>
            <w:r>
              <w:rPr>
                <w:rFonts w:ascii="Calibri" w:hAnsi="Calibri"/>
                <w:sz w:val="22"/>
              </w:rPr>
              <w:t>$0.223</w:t>
            </w:r>
          </w:p>
        </w:tc>
        <w:tc>
          <w:tcPr>
            <w:tcW w:type="dxa" w:w="1080"/>
          </w:tcPr>
          <w:p>
            <w:r>
              <w:rPr>
                <w:rFonts w:ascii="Calibri" w:hAnsi="Calibri"/>
                <w:b/>
                <w:color w:val="30A46C"/>
                <w:sz w:val="22"/>
              </w:rPr>
              <w:t>+4.1%</w:t>
            </w:r>
          </w:p>
        </w:tc>
        <w:tc>
          <w:tcPr>
            <w:tcW w:type="dxa" w:w="1080"/>
          </w:tcPr>
          <w:p>
            <w:r>
              <w:rPr>
                <w:rFonts w:ascii="Calibri" w:hAnsi="Calibri"/>
                <w:sz w:val="22"/>
              </w:rPr>
              <w:t>$0.20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+11.6% above guidance</w:t>
            </w:r>
          </w:p>
        </w:tc>
      </w:tr>
      <w:tr>
        <w:tc>
          <w:tcPr>
            <w:tcW w:type="dxa" w:w="1080"/>
          </w:tcPr>
          <w:p>
            <w:r>
              <w:rPr>
                <w:rFonts w:ascii="Calibri" w:hAnsi="Calibri"/>
                <w:sz w:val="22"/>
              </w:rPr>
              <w:t>Non-GAAP EPS — FY 2026</w:t>
            </w:r>
          </w:p>
        </w:tc>
        <w:tc>
          <w:tcPr>
            <w:tcW w:type="dxa" w:w="1080"/>
          </w:tcPr>
          <w:p>
            <w:r>
              <w:rPr>
                <w:rFonts w:ascii="Calibri" w:hAnsi="Calibri"/>
                <w:sz w:val="22"/>
              </w:rPr>
              <w:t>$1.090</w:t>
            </w:r>
          </w:p>
        </w:tc>
        <w:tc>
          <w:tcPr>
            <w:tcW w:type="dxa" w:w="1080"/>
          </w:tcPr>
          <w:p>
            <w:r>
              <w:rPr>
                <w:rFonts w:ascii="Calibri" w:hAnsi="Calibri"/>
                <w:sz w:val="22"/>
              </w:rPr>
              <w:t>$1.131</w:t>
            </w:r>
          </w:p>
        </w:tc>
        <w:tc>
          <w:tcPr>
            <w:tcW w:type="dxa" w:w="1080"/>
          </w:tcPr>
          <w:p>
            <w:r>
              <w:rPr>
                <w:rFonts w:ascii="Calibri" w:hAnsi="Calibri"/>
                <w:b/>
                <w:color w:val="30A46C"/>
                <w:sz w:val="22"/>
              </w:rPr>
              <w:t>+3.8%</w:t>
            </w:r>
          </w:p>
        </w:tc>
        <w:tc>
          <w:tcPr>
            <w:tcW w:type="dxa" w:w="1080"/>
          </w:tcPr>
          <w:p>
            <w:r>
              <w:rPr>
                <w:rFonts w:ascii="Calibri" w:hAnsi="Calibri"/>
                <w:sz w:val="22"/>
              </w:rPr>
              <w:t>No formal FY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 revisions since the Q1 print have been consistently positive but modest — Q2 revenue consensus has risen ~$0.6B (+0.4%) and FY 2026 revenue ~$0.5B (+0.8%) since the post-earnings baseline, while EPS estimates have moved up ~$0.01 for Q2 and ~$0.04 for FY 2026. The trajectory is constructive and tracking with guidance, not diverging, which means the bar is not stretched. The Street is pricing in a modest beat on EPS but is essentially at guidance midpoint on revenue, leaving room for upside if supply ramp and DCAI momentum continue.</w:t>
      </w:r>
    </w:p>
    <w:p>
      <w:r>
        <w:rPr>
          <w:rFonts w:ascii="Calibri" w:hAnsi="Calibri"/>
          <w:i/>
          <w:color w:val="525866"/>
          <w:sz w:val="22"/>
        </w:rPr>
        <w:t>Source: Visible Alpha Consensus and Actuals Data (revision history weekly series, May 1 – July 22, 2026); Intel Q1 2026 Earnings Call (April 23,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INTC’s post-earnings surge was </w:t>
      </w:r>
      <w:r>
        <w:rPr>
          <w:rFonts w:ascii="Calibri" w:hAnsi="Calibri"/>
          <w:b/>
          <w:color w:val="525866"/>
          <w:sz w:val="22"/>
        </w:rPr>
        <w:t>multiple-driven</w:t>
      </w:r>
      <w:r>
        <w:rPr>
          <w:rFonts w:ascii="Calibri" w:hAnsi="Calibri"/>
          <w:color w:val="525866"/>
          <w:sz w:val="22"/>
        </w:rPr>
        <w:t xml:space="preserve"> — the stock nearly doubled from the Q1 earnings date to its June 22 peak, massively outperforming SOXX and SPY, before giving back ~27% as the market digested the Apple foundry news and broader chip sector rotation; the stock is now +54% since Q1 earnings vs. SOXX +26% and SPY +5%, suggesting the turnaround premium is real but partially priced.</w:t>
      </w:r>
    </w:p>
    <w:p>
      <w:pPr>
        <w:pStyle w:val="Heading3"/>
      </w:pPr>
      <w:r>
        <w:rPr>
          <w:rFonts w:ascii="Calibri" w:hAnsi="Calibri"/>
          <w:b/>
          <w:color w:val="3B4259"/>
          <w:sz w:val="24"/>
        </w:rPr>
        <w:t>Indexed Price Performance: INTC vs. SOXX vs. SPY (Since Q1 2026 Earnings, April 23, 2026 = 100)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INTC (Indexed)</w:t>
            </w:r>
          </w:p>
        </w:tc>
        <w:tc>
          <w:tcPr>
            <w:tcW w:type="dxa" w:w="1728"/>
            <w:shd w:val="clear" w:color="auto" w:fill="3B4259"/>
          </w:tcPr>
          <w:p>
            <w:r>
              <w:rPr>
                <w:rFonts w:ascii="Calibri" w:hAnsi="Calibri"/>
                <w:b/>
                <w:color w:val="FFFFFF"/>
                <w:sz w:val="22"/>
              </w:rPr>
              <w:t>SOXX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23, 2026 (Q1 Earnings)</w:t>
            </w:r>
          </w:p>
        </w:tc>
        <w:tc>
          <w:tcPr>
            <w:tcW w:type="dxa" w:w="1728"/>
          </w:tcPr>
          <w:p>
            <w:r>
              <w:rPr>
                <w:rFonts w:ascii="Calibri" w:hAnsi="Calibri"/>
                <w:sz w:val="22"/>
              </w:rPr>
              <w:t>100</w:t>
            </w:r>
          </w:p>
        </w:tc>
        <w:tc>
          <w:tcPr>
            <w:tcW w:type="dxa" w:w="1728"/>
          </w:tcPr>
          <w:p>
            <w:r>
              <w:rPr>
                <w:rFonts w:ascii="Calibri" w:hAnsi="Calibri"/>
                <w:sz w:val="22"/>
              </w:rPr>
              <w:t>100</w:t>
            </w:r>
          </w:p>
        </w:tc>
        <w:tc>
          <w:tcPr>
            <w:tcW w:type="dxa" w:w="1728"/>
          </w:tcPr>
          <w:p>
            <w:r>
              <w:rPr>
                <w:rFonts w:ascii="Calibri" w:hAnsi="Calibri"/>
                <w:sz w:val="22"/>
              </w:rPr>
              <w:t>100</w:t>
            </w:r>
          </w:p>
        </w:tc>
        <w:tc>
          <w:tcPr>
            <w:tcW w:type="dxa" w:w="1728"/>
          </w:tcPr>
          <w:p>
            <w:r>
              <w:rPr>
                <w:rFonts w:ascii="Calibri" w:hAnsi="Calibri"/>
                <w:sz w:val="22"/>
              </w:rPr>
              <w:t>Q1 2026 Earnings (Beat; +24% day-1)</w:t>
            </w:r>
          </w:p>
        </w:tc>
      </w:tr>
      <w:tr>
        <w:tc>
          <w:tcPr>
            <w:tcW w:type="dxa" w:w="1728"/>
          </w:tcPr>
          <w:p>
            <w:r>
              <w:rPr>
                <w:rFonts w:ascii="Calibri" w:hAnsi="Calibri"/>
                <w:sz w:val="22"/>
              </w:rPr>
              <w:t>May 8, 2026</w:t>
            </w:r>
          </w:p>
        </w:tc>
        <w:tc>
          <w:tcPr>
            <w:tcW w:type="dxa" w:w="1728"/>
          </w:tcPr>
          <w:p>
            <w:r>
              <w:rPr>
                <w:rFonts w:ascii="Calibri" w:hAnsi="Calibri"/>
                <w:sz w:val="22"/>
              </w:rPr>
              <w:t>187</w:t>
            </w:r>
          </w:p>
        </w:tc>
        <w:tc>
          <w:tcPr>
            <w:tcW w:type="dxa" w:w="1728"/>
          </w:tcPr>
          <w:p>
            <w:r>
              <w:rPr>
                <w:rFonts w:ascii="Calibri" w:hAnsi="Calibri"/>
                <w:sz w:val="22"/>
              </w:rPr>
              <w:t>118</w:t>
            </w:r>
          </w:p>
        </w:tc>
        <w:tc>
          <w:tcPr>
            <w:tcW w:type="dxa" w:w="1728"/>
          </w:tcPr>
          <w:p>
            <w:r>
              <w:rPr>
                <w:rFonts w:ascii="Calibri" w:hAnsi="Calibri"/>
                <w:sz w:val="22"/>
              </w:rPr>
              <w:t>104</w:t>
            </w:r>
          </w:p>
        </w:tc>
        <w:tc>
          <w:tcPr>
            <w:tcW w:type="dxa" w:w="1728"/>
          </w:tcPr>
          <w:p>
            <w:r>
              <w:rPr>
                <w:rFonts w:ascii="Calibri" w:hAnsi="Calibri"/>
                <w:sz w:val="22"/>
              </w:rPr>
              <w:t>US-China trade truce; broad tech rally</w:t>
            </w:r>
          </w:p>
        </w:tc>
      </w:tr>
      <w:tr>
        <w:tc>
          <w:tcPr>
            <w:tcW w:type="dxa" w:w="1728"/>
          </w:tcPr>
          <w:p>
            <w:r>
              <w:rPr>
                <w:rFonts w:ascii="Calibri" w:hAnsi="Calibri"/>
                <w:sz w:val="22"/>
              </w:rPr>
              <w:t>May 15, 2026</w:t>
            </w:r>
          </w:p>
        </w:tc>
        <w:tc>
          <w:tcPr>
            <w:tcW w:type="dxa" w:w="1728"/>
          </w:tcPr>
          <w:p>
            <w:r>
              <w:rPr>
                <w:rFonts w:ascii="Calibri" w:hAnsi="Calibri"/>
                <w:sz w:val="22"/>
              </w:rPr>
              <w:t>163</w:t>
            </w:r>
          </w:p>
        </w:tc>
        <w:tc>
          <w:tcPr>
            <w:tcW w:type="dxa" w:w="1728"/>
          </w:tcPr>
          <w:p>
            <w:r>
              <w:rPr>
                <w:rFonts w:ascii="Calibri" w:hAnsi="Calibri"/>
                <w:sz w:val="22"/>
              </w:rPr>
              <w:t>115</w:t>
            </w:r>
          </w:p>
        </w:tc>
        <w:tc>
          <w:tcPr>
            <w:tcW w:type="dxa" w:w="1728"/>
          </w:tcPr>
          <w:p>
            <w:r>
              <w:rPr>
                <w:rFonts w:ascii="Calibri" w:hAnsi="Calibri"/>
                <w:sz w:val="22"/>
              </w:rPr>
              <w:t>104</w:t>
            </w:r>
          </w:p>
        </w:tc>
        <w:tc>
          <w:tcPr>
            <w:tcW w:type="dxa" w:w="1728"/>
          </w:tcPr>
          <w:p>
            <w:r>
              <w:rPr>
                <w:rFonts w:ascii="Calibri" w:hAnsi="Calibri"/>
                <w:sz w:val="22"/>
              </w:rPr>
              <w:t>Shareholder meeting; activist proposals rejected</w:t>
            </w:r>
          </w:p>
        </w:tc>
      </w:tr>
      <w:tr>
        <w:tc>
          <w:tcPr>
            <w:tcW w:type="dxa" w:w="1728"/>
          </w:tcPr>
          <w:p>
            <w:r>
              <w:rPr>
                <w:rFonts w:ascii="Calibri" w:hAnsi="Calibri"/>
                <w:sz w:val="22"/>
              </w:rPr>
              <w:t>Jun 2, 2026</w:t>
            </w:r>
          </w:p>
        </w:tc>
        <w:tc>
          <w:tcPr>
            <w:tcW w:type="dxa" w:w="1728"/>
          </w:tcPr>
          <w:p>
            <w:r>
              <w:rPr>
                <w:rFonts w:ascii="Calibri" w:hAnsi="Calibri"/>
                <w:sz w:val="22"/>
              </w:rPr>
              <w:t>162</w:t>
            </w:r>
          </w:p>
        </w:tc>
        <w:tc>
          <w:tcPr>
            <w:tcW w:type="dxa" w:w="1728"/>
          </w:tcPr>
          <w:p>
            <w:r>
              <w:rPr>
                <w:rFonts w:ascii="Calibri" w:hAnsi="Calibri"/>
                <w:sz w:val="22"/>
              </w:rPr>
              <w:t>137</w:t>
            </w:r>
          </w:p>
        </w:tc>
        <w:tc>
          <w:tcPr>
            <w:tcW w:type="dxa" w:w="1728"/>
          </w:tcPr>
          <w:p>
            <w:r>
              <w:rPr>
                <w:rFonts w:ascii="Calibri" w:hAnsi="Calibri"/>
                <w:sz w:val="22"/>
              </w:rPr>
              <w:t>107</w:t>
            </w:r>
          </w:p>
        </w:tc>
        <w:tc>
          <w:tcPr>
            <w:tcW w:type="dxa" w:w="1728"/>
          </w:tcPr>
          <w:p>
            <w:r>
              <w:rPr>
                <w:rFonts w:ascii="Calibri" w:hAnsi="Calibri"/>
                <w:sz w:val="22"/>
              </w:rPr>
              <w:t>NVDA GTC Taipei; sector AI rally</w:t>
            </w:r>
          </w:p>
        </w:tc>
      </w:tr>
      <w:tr>
        <w:tc>
          <w:tcPr>
            <w:tcW w:type="dxa" w:w="1728"/>
          </w:tcPr>
          <w:p>
            <w:r>
              <w:rPr>
                <w:rFonts w:ascii="Calibri" w:hAnsi="Calibri"/>
                <w:sz w:val="22"/>
              </w:rPr>
              <w:t>Jun 22, 2026 (Peak)</w:t>
            </w:r>
          </w:p>
        </w:tc>
        <w:tc>
          <w:tcPr>
            <w:tcW w:type="dxa" w:w="1728"/>
          </w:tcPr>
          <w:p>
            <w:r>
              <w:rPr>
                <w:rFonts w:ascii="Calibri" w:hAnsi="Calibri"/>
                <w:sz w:val="22"/>
              </w:rPr>
              <w:t>211</w:t>
            </w:r>
          </w:p>
        </w:tc>
        <w:tc>
          <w:tcPr>
            <w:tcW w:type="dxa" w:w="1728"/>
          </w:tcPr>
          <w:p>
            <w:r>
              <w:rPr>
                <w:rFonts w:ascii="Calibri" w:hAnsi="Calibri"/>
                <w:sz w:val="22"/>
              </w:rPr>
              <w:t>148</w:t>
            </w:r>
          </w:p>
        </w:tc>
        <w:tc>
          <w:tcPr>
            <w:tcW w:type="dxa" w:w="1728"/>
          </w:tcPr>
          <w:p>
            <w:r>
              <w:rPr>
                <w:rFonts w:ascii="Calibri" w:hAnsi="Calibri"/>
                <w:sz w:val="22"/>
              </w:rPr>
              <w:t>105</w:t>
            </w:r>
          </w:p>
        </w:tc>
        <w:tc>
          <w:tcPr>
            <w:tcW w:type="dxa" w:w="1728"/>
          </w:tcPr>
          <w:p>
            <w:r>
              <w:rPr>
                <w:rFonts w:ascii="Calibri" w:hAnsi="Calibri"/>
                <w:sz w:val="22"/>
              </w:rPr>
              <w:t>INTC 52-week high (~$141)</w:t>
            </w:r>
          </w:p>
        </w:tc>
      </w:tr>
      <w:tr>
        <w:tc>
          <w:tcPr>
            <w:tcW w:type="dxa" w:w="1728"/>
          </w:tcPr>
          <w:p>
            <w:r>
              <w:rPr>
                <w:rFonts w:ascii="Calibri" w:hAnsi="Calibri"/>
                <w:sz w:val="22"/>
              </w:rPr>
              <w:t>Jul 13, 2026</w:t>
            </w:r>
          </w:p>
        </w:tc>
        <w:tc>
          <w:tcPr>
            <w:tcW w:type="dxa" w:w="1728"/>
          </w:tcPr>
          <w:p>
            <w:r>
              <w:rPr>
                <w:rFonts w:ascii="Calibri" w:hAnsi="Calibri"/>
                <w:sz w:val="22"/>
              </w:rPr>
              <w:t>175</w:t>
            </w:r>
          </w:p>
        </w:tc>
        <w:tc>
          <w:tcPr>
            <w:tcW w:type="dxa" w:w="1728"/>
          </w:tcPr>
          <w:p>
            <w:r>
              <w:rPr>
                <w:rFonts w:ascii="Calibri" w:hAnsi="Calibri"/>
                <w:sz w:val="22"/>
              </w:rPr>
              <w:t>133</w:t>
            </w:r>
          </w:p>
        </w:tc>
        <w:tc>
          <w:tcPr>
            <w:tcW w:type="dxa" w:w="1728"/>
          </w:tcPr>
          <w:p>
            <w:r>
              <w:rPr>
                <w:rFonts w:ascii="Calibri" w:hAnsi="Calibri"/>
                <w:sz w:val="22"/>
              </w:rPr>
              <w:t>105</w:t>
            </w:r>
          </w:p>
        </w:tc>
        <w:tc>
          <w:tcPr>
            <w:tcW w:type="dxa" w:w="1728"/>
          </w:tcPr>
          <w:p>
            <w:r>
              <w:rPr>
                <w:rFonts w:ascii="Calibri" w:hAnsi="Calibri"/>
                <w:sz w:val="22"/>
              </w:rPr>
              <w:t>Apple foundry deal (WSJ); €5B Ireland CapEx</w:t>
            </w:r>
          </w:p>
        </w:tc>
      </w:tr>
      <w:tr>
        <w:tc>
          <w:tcPr>
            <w:tcW w:type="dxa" w:w="1728"/>
          </w:tcPr>
          <w:p>
            <w:r>
              <w:rPr>
                <w:rFonts w:ascii="Calibri" w:hAnsi="Calibri"/>
                <w:sz w:val="22"/>
              </w:rPr>
              <w:t>Jul 15, 2026</w:t>
            </w:r>
          </w:p>
        </w:tc>
        <w:tc>
          <w:tcPr>
            <w:tcW w:type="dxa" w:w="1728"/>
          </w:tcPr>
          <w:p>
            <w:r>
              <w:rPr>
                <w:rFonts w:ascii="Calibri" w:hAnsi="Calibri"/>
                <w:sz w:val="22"/>
              </w:rPr>
              <w:t>154</w:t>
            </w:r>
          </w:p>
        </w:tc>
        <w:tc>
          <w:tcPr>
            <w:tcW w:type="dxa" w:w="1728"/>
          </w:tcPr>
          <w:p>
            <w:r>
              <w:rPr>
                <w:rFonts w:ascii="Calibri" w:hAnsi="Calibri"/>
                <w:sz w:val="22"/>
              </w:rPr>
              <w:t>126</w:t>
            </w:r>
          </w:p>
        </w:tc>
        <w:tc>
          <w:tcPr>
            <w:tcW w:type="dxa" w:w="1728"/>
          </w:tcPr>
          <w:p>
            <w:r>
              <w:rPr>
                <w:rFonts w:ascii="Calibri" w:hAnsi="Calibri"/>
                <w:sz w:val="22"/>
              </w:rPr>
              <w:t>107</w:t>
            </w:r>
          </w:p>
        </w:tc>
        <w:tc>
          <w:tcPr>
            <w:tcW w:type="dxa" w:w="1728"/>
          </w:tcPr>
          <w:p>
            <w:r>
              <w:rPr>
                <w:rFonts w:ascii="Calibri" w:hAnsi="Calibri"/>
                <w:sz w:val="22"/>
              </w:rPr>
              <w:t>ASML Q2 beat; Intel 18A High-NA EUV confirmed</w:t>
            </w:r>
          </w:p>
        </w:tc>
      </w:tr>
      <w:tr>
        <w:tc>
          <w:tcPr>
            <w:tcW w:type="dxa" w:w="1728"/>
          </w:tcPr>
          <w:p>
            <w:r>
              <w:rPr>
                <w:rFonts w:ascii="Calibri" w:hAnsi="Calibri"/>
                <w:sz w:val="22"/>
              </w:rPr>
              <w:t>Jul 21, 2026</w:t>
            </w:r>
          </w:p>
        </w:tc>
        <w:tc>
          <w:tcPr>
            <w:tcW w:type="dxa" w:w="1728"/>
          </w:tcPr>
          <w:p>
            <w:r>
              <w:rPr>
                <w:rFonts w:ascii="Calibri" w:hAnsi="Calibri"/>
                <w:sz w:val="22"/>
              </w:rPr>
              <w:t>158</w:t>
            </w:r>
          </w:p>
        </w:tc>
        <w:tc>
          <w:tcPr>
            <w:tcW w:type="dxa" w:w="1728"/>
          </w:tcPr>
          <w:p>
            <w:r>
              <w:rPr>
                <w:rFonts w:ascii="Calibri" w:hAnsi="Calibri"/>
                <w:sz w:val="22"/>
              </w:rPr>
              <w:t>125</w:t>
            </w:r>
          </w:p>
        </w:tc>
        <w:tc>
          <w:tcPr>
            <w:tcW w:type="dxa" w:w="1728"/>
          </w:tcPr>
          <w:p>
            <w:r>
              <w:rPr>
                <w:rFonts w:ascii="Calibri" w:hAnsi="Calibri"/>
                <w:sz w:val="22"/>
              </w:rPr>
              <w:t>106</w:t>
            </w:r>
          </w:p>
        </w:tc>
        <w:tc>
          <w:tcPr>
            <w:tcW w:type="dxa" w:w="1728"/>
          </w:tcPr>
          <w:p>
            <w:r>
              <w:rPr>
                <w:rFonts w:ascii="Calibri" w:hAnsi="Calibri"/>
                <w:sz w:val="22"/>
              </w:rPr>
              <w:t>Fortinet foundry win announced; stock +8%</w:t>
            </w:r>
          </w:p>
        </w:tc>
      </w:tr>
      <w:tr>
        <w:tc>
          <w:tcPr>
            <w:tcW w:type="dxa" w:w="1728"/>
          </w:tcPr>
          <w:p>
            <w:r>
              <w:rPr>
                <w:rFonts w:ascii="Calibri" w:hAnsi="Calibri"/>
                <w:sz w:val="22"/>
              </w:rPr>
              <w:t>Jul 22, 2026 (Today)</w:t>
            </w:r>
          </w:p>
        </w:tc>
        <w:tc>
          <w:tcPr>
            <w:tcW w:type="dxa" w:w="1728"/>
          </w:tcPr>
          <w:p>
            <w:r>
              <w:rPr>
                <w:rFonts w:ascii="Calibri" w:hAnsi="Calibri"/>
                <w:sz w:val="22"/>
              </w:rPr>
              <w:t>154</w:t>
            </w:r>
          </w:p>
        </w:tc>
        <w:tc>
          <w:tcPr>
            <w:tcW w:type="dxa" w:w="1728"/>
          </w:tcPr>
          <w:p>
            <w:r>
              <w:rPr>
                <w:rFonts w:ascii="Calibri" w:hAnsi="Calibri"/>
                <w:sz w:val="22"/>
              </w:rPr>
              <w:t>126</w:t>
            </w:r>
          </w:p>
        </w:tc>
        <w:tc>
          <w:tcPr>
            <w:tcW w:type="dxa" w:w="1728"/>
          </w:tcPr>
          <w:p>
            <w:r>
              <w:rPr>
                <w:rFonts w:ascii="Calibri" w:hAnsi="Calibri"/>
                <w:sz w:val="22"/>
              </w:rPr>
              <w:t>105</w:t>
            </w:r>
          </w:p>
        </w:tc>
        <w:tc>
          <w:tcPr>
            <w:tcW w:type="dxa" w:w="1728"/>
          </w:tcPr>
          <w:p>
            <w:r>
              <w:rPr>
                <w:rFonts w:ascii="Calibri" w:hAnsi="Calibri"/>
                <w:sz w:val="22"/>
              </w:rPr>
              <w:t>Day before Q2 earnings</w:t>
            </w:r>
          </w:p>
        </w:tc>
      </w:tr>
    </w:tbl>
    <w:p>
      <w:r>
        <w:rPr>
          <w:rFonts w:ascii="Calibri" w:hAnsi="Calibri"/>
          <w:b/>
          <w:color w:val="525866"/>
          <w:sz w:val="22"/>
        </w:rPr>
        <w:t xml:space="preserve">Note: </w:t>
      </w:r>
      <w:r>
        <w:rPr>
          <w:rFonts w:ascii="Calibri" w:hAnsi="Calibri"/>
          <w:color w:val="525866"/>
          <w:sz w:val="22"/>
        </w:rPr>
        <w:t>Indexed to 100 at April 23, 2026 close ($66.78 for INTC, $441.00 for SOXX, $708.45 for SPY). Sector ETF: SOXX (iShares Semiconductor ETF) — appropriate for Intel’s semiconductor sub-sector. INTC’s +54% since Q1 earnings compares to SOXX +26% and SPY +5%, with the outperformance driven almost entirely by multiple expansion on the turnaround narrative rather than estimate revisions alone. The 12-month EV/EBITDA multiple has expanded from ~8.5x to ~24.5x, confirming the move is sentiment/multiple-driven.</w:t>
      </w:r>
    </w:p>
    <w:p>
      <w:r>
        <w:rPr>
          <w:rFonts w:ascii="Calibri" w:hAnsi="Calibri"/>
          <w:i/>
          <w:color w:val="525866"/>
          <w:sz w:val="22"/>
        </w:rPr>
        <w:t>Source: Stock Price Data (Yahoo Finance); Stock Performance Decomposition (Implied Analytics).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Apple foundry deal</w:t>
      </w:r>
      <w:r>
        <w:rPr>
          <w:rFonts w:ascii="Calibri" w:hAnsi="Calibri"/>
          <w:color w:val="525866"/>
          <w:sz w:val="22"/>
        </w:rPr>
        <w:t xml:space="preserve"> (WSJ, July 13) is the single most important development since Q1 earnings — it validates Intel’s foundry strategy at a scale no prior customer win has approached and could be the catalyst for management to provide a more concrete foundry revenue outlook on the Q2 call.</w:t>
      </w:r>
    </w:p>
    <w:p>
      <w:pPr>
        <w:pStyle w:val="ListBullet"/>
        <w:ind w:left="360" w:hanging="360"/>
      </w:pPr>
      <w:r>
        <w:rPr>
          <w:rFonts w:ascii="Calibri" w:hAnsi="Calibri"/>
          <w:b/>
          <w:color w:val="525866"/>
          <w:sz w:val="22"/>
        </w:rPr>
        <w:t>July 21, 2026 — Fortinet foundry customer win (Intel 4 process):</w:t>
      </w:r>
      <w:r>
        <w:rPr>
          <w:rFonts w:ascii="Calibri" w:hAnsi="Calibri"/>
          <w:color w:val="525866"/>
          <w:sz w:val="22"/>
        </w:rPr>
        <w:t xml:space="preserve"> Intel announced Fortinet as its first publicly named corporate foundry customer under CEO Lip-Bu Tan, with Fortinet’s next-gen security chip (SP6) to be manufactured on Intel 4. Implication: Validates the foundry commercial pipeline is building; however, Intel 4 is not the leading-edge 18A node, so this is a proof-of-concept win rather than a transformational revenue event. Management commentary on the pipeline of 18A/14A external customers will be closely watched.</w:t>
      </w:r>
    </w:p>
    <w:p>
      <w:pPr>
        <w:pStyle w:val="ListBullet"/>
        <w:ind w:left="360" w:hanging="360"/>
      </w:pPr>
      <w:r>
        <w:rPr>
          <w:rFonts w:ascii="Calibri" w:hAnsi="Calibri"/>
          <w:b/>
          <w:color w:val="525866"/>
          <w:sz w:val="22"/>
        </w:rPr>
        <w:t>July 13, 2026 — Apple foundry deal (WSJ report):</w:t>
      </w:r>
      <w:r>
        <w:rPr>
          <w:rFonts w:ascii="Calibri" w:hAnsi="Calibri"/>
          <w:color w:val="525866"/>
          <w:sz w:val="22"/>
        </w:rPr>
        <w:t xml:space="preserve"> Apple plans to have Intel manufacture chips for both Macs and iPhones, reportedly facilitated by the Trump administration to help Apple avoid tariffs. The U.S. government holds a ~10% stake in Intel. Implication: If confirmed and sized on the Q2 call, this would be the most significant external foundry win in Intel’s history and could fundamentally re-rate the foundry business. The stock surged ~8% on the news before partially retracing.</w:t>
      </w:r>
    </w:p>
    <w:p>
      <w:pPr>
        <w:pStyle w:val="ListBullet"/>
        <w:ind w:left="360" w:hanging="360"/>
      </w:pPr>
      <w:r>
        <w:rPr>
          <w:rFonts w:ascii="Calibri" w:hAnsi="Calibri"/>
          <w:b/>
          <w:color w:val="525866"/>
          <w:sz w:val="22"/>
        </w:rPr>
        <w:t>July 13, 2026 — €5 billion Ireland manufacturing investment:</w:t>
      </w:r>
      <w:r>
        <w:rPr>
          <w:rFonts w:ascii="Calibri" w:hAnsi="Calibri"/>
          <w:color w:val="525866"/>
          <w:sz w:val="22"/>
        </w:rPr>
        <w:t xml:space="preserve"> Intel announced a €5B ($5.7B) capital investment at its Leixlip campus to expand Xeon 6 and next-gen Xeon (Intel 3) production. Implication: Consistent with the Q1 CapEx guidance upgrade to flat YoY; signals committed demand is driving incremental capacity investment in Europe.</w:t>
      </w:r>
    </w:p>
    <w:p>
      <w:pPr>
        <w:pStyle w:val="ListBullet"/>
        <w:ind w:left="360" w:hanging="360"/>
      </w:pPr>
      <w:r>
        <w:rPr>
          <w:rFonts w:ascii="Calibri" w:hAnsi="Calibri"/>
          <w:b/>
          <w:color w:val="525866"/>
          <w:sz w:val="22"/>
        </w:rPr>
        <w:t>July 15, 2026 — ASML confirms Intel 18A High-NA EUV production use:</w:t>
      </w:r>
      <w:r>
        <w:rPr>
          <w:rFonts w:ascii="Calibri" w:hAnsi="Calibri"/>
          <w:color w:val="525866"/>
          <w:sz w:val="22"/>
        </w:rPr>
        <w:t xml:space="preserve"> ASML announced that Intel Foundry is using High-NA EUV technology on the Intel 18A process node to produce a subset of Core Ultra Series processors. Implication: Strongest external validation yet of 18A’s production readiness; directly supports management’s claim that 18A yields are running ahead of schedule.</w:t>
      </w:r>
    </w:p>
    <w:p>
      <w:pPr>
        <w:pStyle w:val="ListBullet"/>
        <w:ind w:left="360" w:hanging="360"/>
      </w:pPr>
      <w:r>
        <w:rPr>
          <w:rFonts w:ascii="Calibri" w:hAnsi="Calibri"/>
          <w:b/>
          <w:color w:val="525866"/>
          <w:sz w:val="22"/>
        </w:rPr>
        <w:t>July 22, 2026 — Ohio fab partner search; SK Hynix denial:</w:t>
      </w:r>
      <w:r>
        <w:rPr>
          <w:rFonts w:ascii="Calibri" w:hAnsi="Calibri"/>
          <w:color w:val="525866"/>
          <w:sz w:val="22"/>
        </w:rPr>
        <w:t xml:space="preserve"> Semafor reported Intel is seeking an operating partner for its Ohio fab project; SK Hynix denied speculation it was the buyer. Implication: Suggests Intel is actively managing its capital-intensive fab footprint and may be open to joint-venture structures for Ohio, which could reduce CapEx burden but also signals the fab is not yet fully committed.</w:t>
      </w:r>
    </w:p>
    <w:p>
      <w:pPr>
        <w:pStyle w:val="ListBullet"/>
        <w:ind w:left="360" w:hanging="360"/>
      </w:pPr>
      <w:r>
        <w:rPr>
          <w:rFonts w:ascii="Calibri" w:hAnsi="Calibri"/>
          <w:b/>
          <w:color w:val="525866"/>
          <w:sz w:val="22"/>
        </w:rPr>
        <w:t>April 30, 2026 — $6.5B senior notes issuance (five tranches, 4.65%–6.20%):</w:t>
      </w:r>
      <w:r>
        <w:rPr>
          <w:rFonts w:ascii="Calibri" w:hAnsi="Calibri"/>
          <w:color w:val="525866"/>
          <w:sz w:val="22"/>
        </w:rPr>
        <w:t xml:space="preserve"> Intel issued $6.5B in senior notes to refinance the bridge loan used to buy out Apollo’s 49% stake in Fab 34 Ireland ($14.2B total transaction, closed April 8). Implication: Leverage ratio rose to ~4x; incremental interest expense will weigh on GAAP EPS in Q2 and beyond, though non-GAAP EPS excludes most of this. CFO confirmed positive adjusted FCF for FY 2026 excluding the Fab 34 buyout.</w:t>
      </w:r>
    </w:p>
    <w:p>
      <w:pPr>
        <w:pStyle w:val="ListBullet"/>
        <w:ind w:left="360" w:hanging="360"/>
      </w:pPr>
      <w:r>
        <w:rPr>
          <w:rFonts w:ascii="Calibri" w:hAnsi="Calibri"/>
          <w:b/>
          <w:color w:val="525866"/>
          <w:sz w:val="22"/>
        </w:rPr>
        <w:t>April 24, 2026 — Chief Accounting Officer Scott Gawel resigned:</w:t>
      </w:r>
      <w:r>
        <w:rPr>
          <w:rFonts w:ascii="Calibri" w:hAnsi="Calibri"/>
          <w:color w:val="525866"/>
          <w:sz w:val="22"/>
        </w:rPr>
        <w:t xml:space="preserve"> CFO David Zinsner assumed dual role as principal accounting officer. Implication: Governance concentration risk; no financial restatement or control weakness disclosed, but the dual role adds workload to a CFO already managing a complex transformation.</w:t>
      </w:r>
    </w:p>
    <w:p>
      <w:pPr>
        <w:pStyle w:val="ListBullet"/>
        <w:ind w:left="360" w:hanging="360"/>
      </w:pPr>
      <w:r>
        <w:rPr>
          <w:rFonts w:ascii="Calibri" w:hAnsi="Calibri"/>
          <w:b/>
          <w:color w:val="525866"/>
          <w:sz w:val="22"/>
        </w:rPr>
        <w:t>April 8, 2026 — Fab 34 (Ireland) buyout completed:</w:t>
      </w:r>
      <w:r>
        <w:rPr>
          <w:rFonts w:ascii="Calibri" w:hAnsi="Calibri"/>
          <w:color w:val="525866"/>
          <w:sz w:val="22"/>
        </w:rPr>
        <w:t xml:space="preserve"> Intel repurchased Apollo’s 49% JV stake for $14.2B (cash + $6.5B bridge loan), now owns 100% of Fab 34. Implication: Full consolidation of Fab 34 P&amp;L into Intel financials from Q2 onward; NCI line expected to be ~$250M per quarter in Q2–Q4 2026 on a GAAP basis.</w:t>
      </w:r>
    </w:p>
    <w:p>
      <w:r>
        <w:br w:type="page"/>
      </w:r>
    </w:p>
    <w:p>
      <w:pPr>
        <w:pStyle w:val="Heading2"/>
      </w:pPr>
      <w:r>
        <w:rPr>
          <w:rFonts w:ascii="Calibri" w:hAnsi="Calibri"/>
          <w:b/>
          <w:color w:val="3B4259"/>
          <w:sz w:val="28"/>
        </w:rPr>
        <w:t>7. Peer Commentary &amp; Read-Throughs</w:t>
      </w:r>
    </w:p>
    <w:p>
      <w:r>
        <w:rPr>
          <w:rFonts w:ascii="Calibri" w:hAnsi="Calibri"/>
          <w:b/>
          <w:color w:val="525866"/>
          <w:sz w:val="22"/>
        </w:rPr>
        <w:t xml:space="preserve">Methodology Note: </w:t>
      </w:r>
      <w:r>
        <w:rPr>
          <w:rFonts w:ascii="Calibri" w:hAnsi="Calibri"/>
          <w:i/>
          <w:color w:val="525866"/>
          <w:sz w:val="22"/>
        </w:rPr>
        <w:t xml:space="preserve">This section includes only peer commentary from the last 60 days (on or after May 22, 2026) that speaks to conditions relevant to Intel’s </w:t>
      </w:r>
      <w:r>
        <w:rPr>
          <w:rFonts w:ascii="Calibri" w:hAnsi="Calibri"/>
          <w:b/>
          <w:i/>
          <w:color w:val="525866"/>
          <w:sz w:val="22"/>
        </w:rPr>
        <w:t>current reporting quarter (Q2 2026, ending June 28, 2026)</w:t>
      </w:r>
      <w:r>
        <w:rPr>
          <w:rFonts w:ascii="Calibri" w:hAnsi="Calibri"/>
          <w:i/>
          <w:color w:val="525866"/>
          <w:sz w:val="22"/>
        </w:rPr>
        <w:t xml:space="preserve"> or forward-looking observations made after Intel’s last earnings (April 23, 2026). Retrospective commentary about peers’ own prior-quarter results is excluded. Each item is tagged with its source date and a directional signal for INTC.</w:t>
      </w:r>
    </w:p>
    <w:p>
      <w:pPr>
        <w:pStyle w:val="Heading3"/>
      </w:pPr>
      <w:r>
        <w:rPr>
          <w:rFonts w:ascii="Calibri" w:hAnsi="Calibri"/>
          <w:b/>
          <w:color w:val="3B4259"/>
          <w:sz w:val="24"/>
        </w:rPr>
        <w:t>TSMC — Q2 2026 Earnings Call (July 16, 2026)</w:t>
      </w:r>
    </w:p>
    <w:p>
      <w:pPr>
        <w:pStyle w:val="ListBullet"/>
        <w:ind w:left="360" w:hanging="360"/>
      </w:pPr>
      <w:r>
        <w:rPr>
          <w:rFonts w:ascii="Calibri" w:hAnsi="Calibri"/>
          <w:b/>
          <w:color w:val="525866"/>
          <w:sz w:val="22"/>
        </w:rPr>
        <w:t xml:space="preserve">AI/Server Demand — </w:t>
      </w:r>
      <w:r>
        <w:rPr>
          <w:rFonts w:ascii="Calibri" w:hAnsi="Calibri"/>
          <w:b/>
          <w:color w:val="30A46C"/>
          <w:sz w:val="22"/>
        </w:rPr>
        <w:t xml:space="preserve">POSITIVE for INTC. </w:t>
      </w:r>
      <w:r>
        <w:rPr>
          <w:rFonts w:ascii="Calibri" w:hAnsi="Calibri"/>
          <w:color w:val="525866"/>
          <w:sz w:val="22"/>
        </w:rPr>
        <w:t xml:space="preserve"> TSMC stated AI-related demand is "extremely robust" and "stronger and stronger and stronger" vs. prior expectations. Critically, TSMC noted that "the emergence of Agentic AI is leading to a resurgence in the role of CPUs in AI data centers, which drives more silicon demand in addition to AI accelerators" — a direct read-through to Intel’s DCAI server CPU thesis. TSMC raised full-year 2026 revenue growth guidance to "slightly above 40% YoY" and expects demand to remain "very strong" through 2029–2030.</w:t>
      </w:r>
    </w:p>
    <w:p>
      <w:pPr>
        <w:pStyle w:val="ListBullet"/>
        <w:ind w:left="360" w:hanging="360"/>
      </w:pPr>
      <w:r>
        <w:rPr>
          <w:rFonts w:ascii="Calibri" w:hAnsi="Calibri"/>
          <w:b/>
          <w:color w:val="525866"/>
          <w:sz w:val="22"/>
        </w:rPr>
        <w:t xml:space="preserve">PC/Client Demand — </w:t>
      </w:r>
      <w:r>
        <w:rPr>
          <w:rFonts w:ascii="Calibri" w:hAnsi="Calibri"/>
          <w:b/>
          <w:color w:val="E5484D"/>
          <w:sz w:val="22"/>
        </w:rPr>
        <w:t xml:space="preserve">NEGATIVE for INTC. </w:t>
      </w:r>
      <w:r>
        <w:rPr>
          <w:rFonts w:ascii="Calibri" w:hAnsi="Calibri"/>
          <w:color w:val="525866"/>
          <w:sz w:val="22"/>
        </w:rPr>
        <w:t xml:space="preserve"> TSMC observed that "consumer and price-sensitive end market segments are being challenged due to the impact of rising component prices and macroeconomic uncertainties." This corroborates Intel’s own Q1 guidance for PC TAM to be down low double-digits in 2026 and supports the expectation of H2 CCG weakness.</w:t>
      </w:r>
    </w:p>
    <w:p>
      <w:pPr>
        <w:pStyle w:val="ListBullet"/>
        <w:ind w:left="360" w:hanging="360"/>
      </w:pPr>
      <w:r>
        <w:rPr>
          <w:rFonts w:ascii="Calibri" w:hAnsi="Calibri"/>
          <w:b/>
          <w:color w:val="525866"/>
          <w:sz w:val="22"/>
        </w:rPr>
        <w:t xml:space="preserve">Advanced Packaging — </w:t>
      </w:r>
      <w:r>
        <w:rPr>
          <w:rFonts w:ascii="Calibri" w:hAnsi="Calibri"/>
          <w:b/>
          <w:color w:val="30A46C"/>
          <w:sz w:val="22"/>
        </w:rPr>
        <w:t xml:space="preserve">POSITIVE for INTC. </w:t>
      </w:r>
      <w:r>
        <w:rPr>
          <w:rFonts w:ascii="Calibri" w:hAnsi="Calibri"/>
          <w:color w:val="525866"/>
          <w:sz w:val="22"/>
        </w:rPr>
        <w:t xml:space="preserve"> TSMC stated its packaging capacity is "so tight" and explicitly welcomed competitors including Intel (MMT) offering packaging flexibility to customers, noting it helps TSMC’s front-end wafer business. This validates Intel’s advanced packaging (EMIB) as a near-term revenue opportunity, consistent with management’s Q1 comment that packaging demand is "in the billions of dollars per year."</w:t>
      </w:r>
    </w:p>
    <w:p>
      <w:pPr>
        <w:pStyle w:val="ListBullet"/>
        <w:ind w:left="360" w:hanging="360"/>
      </w:pPr>
      <w:r>
        <w:rPr>
          <w:rFonts w:ascii="Calibri" w:hAnsi="Calibri"/>
          <w:b/>
          <w:color w:val="525866"/>
          <w:sz w:val="22"/>
        </w:rPr>
        <w:t xml:space="preserve">CapEx Cycle — </w:t>
      </w:r>
      <w:r>
        <w:rPr>
          <w:rFonts w:ascii="Calibri" w:hAnsi="Calibri"/>
          <w:b/>
          <w:color w:val="30A46C"/>
          <w:sz w:val="22"/>
        </w:rPr>
        <w:t xml:space="preserve">POSITIVE for INTC. </w:t>
      </w:r>
      <w:r>
        <w:rPr>
          <w:rFonts w:ascii="Calibri" w:hAnsi="Calibri"/>
          <w:color w:val="525866"/>
          <w:sz w:val="22"/>
        </w:rPr>
        <w:t xml:space="preserve"> TSMC raised its FY 2026 CapEx budget to $60–$64B (from $52–$56B), driven by AI demand and inflation. The gap between leading-edge supply and demand is described as "really big. Bigger than us." This confirms the structural demand environment underpinning Intel’s own CapEx upgrade and foundry investment thesis.</w:t>
      </w:r>
    </w:p>
    <w:p>
      <w:pPr>
        <w:pStyle w:val="ListBullet"/>
        <w:ind w:left="360" w:hanging="360"/>
      </w:pPr>
      <w:r>
        <w:rPr>
          <w:rFonts w:ascii="Calibri" w:hAnsi="Calibri"/>
          <w:b/>
          <w:color w:val="525866"/>
          <w:sz w:val="22"/>
        </w:rPr>
        <w:t xml:space="preserve">Memory Constraints — </w:t>
      </w:r>
      <w:r>
        <w:rPr>
          <w:rFonts w:ascii="Calibri" w:hAnsi="Calibri"/>
          <w:b/>
          <w:color w:val="002FA7"/>
          <w:sz w:val="22"/>
        </w:rPr>
        <w:t xml:space="preserve">MIXED for INTC. </w:t>
      </w:r>
      <w:r>
        <w:rPr>
          <w:rFonts w:ascii="Calibri" w:hAnsi="Calibri"/>
          <w:color w:val="525866"/>
          <w:sz w:val="22"/>
        </w:rPr>
        <w:t xml:space="preserve"> TSMC noted rising component prices are challenging consumer end markets. Power management ICs (mature node) are in shortage due to AI data center demand. This is consistent with Intel’s Q1 warning that "rising input costs, especially in memory, present growing headwinds in H2."</w:t>
      </w:r>
    </w:p>
    <w:p>
      <w:pPr>
        <w:pStyle w:val="Heading3"/>
      </w:pPr>
      <w:r>
        <w:rPr>
          <w:rFonts w:ascii="Calibri" w:hAnsi="Calibri"/>
          <w:b/>
          <w:color w:val="3B4259"/>
          <w:sz w:val="24"/>
        </w:rPr>
        <w:t>ASML — Q2 2026 Earnings Call (July 15, 2026)</w:t>
      </w:r>
    </w:p>
    <w:p>
      <w:pPr>
        <w:pStyle w:val="ListBullet"/>
        <w:ind w:left="360" w:hanging="360"/>
      </w:pPr>
      <w:r>
        <w:rPr>
          <w:rFonts w:ascii="Calibri" w:hAnsi="Calibri"/>
          <w:b/>
          <w:color w:val="525866"/>
          <w:sz w:val="22"/>
        </w:rPr>
        <w:t xml:space="preserve">Intel 18A High-NA EUV Production Confirmation — </w:t>
      </w:r>
      <w:r>
        <w:rPr>
          <w:rFonts w:ascii="Calibri" w:hAnsi="Calibri"/>
          <w:b/>
          <w:color w:val="30A46C"/>
          <w:sz w:val="22"/>
        </w:rPr>
        <w:t xml:space="preserve">POSITIVE for INTC. </w:t>
      </w:r>
      <w:r>
        <w:rPr>
          <w:rFonts w:ascii="Calibri" w:hAnsi="Calibri"/>
          <w:color w:val="525866"/>
          <w:sz w:val="22"/>
        </w:rPr>
        <w:t xml:space="preserve"> ASML announced in a press release concurrent with its earnings call that "Intel Foundry is using ASML High-NA EUV technology on the Intel 18A process node to produce a subset of its Intel Core Ultra Series processors." ASML described this as "an important step in demonstrating High-NA EUV readiness in a production environment." This is the strongest third-party validation of 18A’s production status to date.</w:t>
      </w:r>
    </w:p>
    <w:p>
      <w:pPr>
        <w:pStyle w:val="ListBullet"/>
        <w:ind w:left="360" w:hanging="360"/>
      </w:pPr>
      <w:r>
        <w:rPr>
          <w:rFonts w:ascii="Calibri" w:hAnsi="Calibri"/>
          <w:b/>
          <w:color w:val="525866"/>
          <w:sz w:val="22"/>
        </w:rPr>
        <w:t xml:space="preserve">Customer CapEx Revisions Upward — </w:t>
      </w:r>
      <w:r>
        <w:rPr>
          <w:rFonts w:ascii="Calibri" w:hAnsi="Calibri"/>
          <w:b/>
          <w:color w:val="30A46C"/>
          <w:sz w:val="22"/>
        </w:rPr>
        <w:t xml:space="preserve">POSITIVE for INTC. </w:t>
      </w:r>
      <w:r>
        <w:rPr>
          <w:rFonts w:ascii="Calibri" w:hAnsi="Calibri"/>
          <w:color w:val="525866"/>
          <w:sz w:val="22"/>
        </w:rPr>
        <w:t xml:space="preserve"> ASML noted "a number of our customers have revised their capital expenditure plans upward for the year" and that "strong end market demand this year has motivated our customers to aggressively add capacity on their leading-edge nodes." ASML raised FY 2026 guidance to €43–€45B in net sales. This confirms the broad-based capex upcycle benefiting Intel’s foundry and product businesses.</w:t>
      </w:r>
    </w:p>
    <w:p>
      <w:pPr>
        <w:pStyle w:val="ListBullet"/>
        <w:ind w:left="360" w:hanging="360"/>
      </w:pPr>
      <w:r>
        <w:rPr>
          <w:rFonts w:ascii="Calibri" w:hAnsi="Calibri"/>
          <w:b/>
          <w:color w:val="525866"/>
          <w:sz w:val="22"/>
        </w:rPr>
        <w:t xml:space="preserve">Advanced Logic Foundry Growth — </w:t>
      </w:r>
      <w:r>
        <w:rPr>
          <w:rFonts w:ascii="Calibri" w:hAnsi="Calibri"/>
          <w:b/>
          <w:color w:val="30A46C"/>
          <w:sz w:val="22"/>
        </w:rPr>
        <w:t xml:space="preserve">POSITIVE for INTC. </w:t>
      </w:r>
      <w:r>
        <w:rPr>
          <w:rFonts w:ascii="Calibri" w:hAnsi="Calibri"/>
          <w:color w:val="525866"/>
          <w:sz w:val="22"/>
        </w:rPr>
        <w:t xml:space="preserve"> ASML now expects "advanced logic foundry-related net system sales to grow over 25% this year," driven by AI accelerator and HPC demand. The 2nm node is "ramping rapidly" and customers are already planning 1.4nm investments. This validates the long-term demand for leading-edge foundry capacity that Intel is targeting with 18A and 14A.</w:t>
      </w:r>
    </w:p>
    <w:p>
      <w:pPr>
        <w:pStyle w:val="ListBullet"/>
        <w:ind w:left="360" w:hanging="360"/>
      </w:pPr>
      <w:r>
        <w:rPr>
          <w:rFonts w:ascii="Calibri" w:hAnsi="Calibri"/>
          <w:b/>
          <w:color w:val="525866"/>
          <w:sz w:val="22"/>
        </w:rPr>
        <w:t xml:space="preserve">EUV Capacity Expansion — </w:t>
      </w:r>
      <w:r>
        <w:rPr>
          <w:rFonts w:ascii="Calibri" w:hAnsi="Calibri"/>
          <w:b/>
          <w:color w:val="30A46C"/>
          <w:sz w:val="22"/>
        </w:rPr>
        <w:t xml:space="preserve">POSITIVE for INTC. </w:t>
      </w:r>
      <w:r>
        <w:rPr>
          <w:rFonts w:ascii="Calibri" w:hAnsi="Calibri"/>
          <w:color w:val="525866"/>
          <w:sz w:val="22"/>
        </w:rPr>
        <w:t xml:space="preserve"> ASML plans to increase low-end EUV capacity by ~30% for 2027 and is investigating a further 30% increase for 2028. Orders for 2027 are "close to being fully covered." This supports Intel’s ability to scale 18A and 14A production with adequate lithography tool access.</w:t>
      </w:r>
    </w:p>
    <w:p>
      <w:pPr>
        <w:pStyle w:val="Heading3"/>
      </w:pPr>
      <w:r>
        <w:rPr>
          <w:rFonts w:ascii="Calibri" w:hAnsi="Calibri"/>
          <w:b/>
          <w:color w:val="3B4259"/>
          <w:sz w:val="24"/>
        </w:rPr>
        <w:t>Micron Technology — Fiscal Q3 2026 Earnings Call (June 24, 2026)</w:t>
      </w:r>
    </w:p>
    <w:p>
      <w:pPr>
        <w:pStyle w:val="ListBullet"/>
        <w:ind w:left="360" w:hanging="360"/>
      </w:pPr>
      <w:r>
        <w:rPr>
          <w:rFonts w:ascii="Calibri" w:hAnsi="Calibri"/>
          <w:b/>
          <w:color w:val="525866"/>
          <w:sz w:val="22"/>
        </w:rPr>
        <w:t xml:space="preserve">Server Unit Growth Upgrade — </w:t>
      </w:r>
      <w:r>
        <w:rPr>
          <w:rFonts w:ascii="Calibri" w:hAnsi="Calibri"/>
          <w:b/>
          <w:color w:val="30A46C"/>
          <w:sz w:val="22"/>
        </w:rPr>
        <w:t xml:space="preserve">POSITIVE for INTC. </w:t>
      </w:r>
      <w:r>
        <w:rPr>
          <w:rFonts w:ascii="Calibri" w:hAnsi="Calibri"/>
          <w:color w:val="525866"/>
          <w:sz w:val="22"/>
        </w:rPr>
        <w:t xml:space="preserve"> Micron raised its calendar 2026 industry server unit growth forecast to "high teens" from "low double digits," driven by "mid-teens growth in traditional servers and even stronger growth in servers with AI accelerators." Micron explicitly noted that "Agentic AI is structurally reshaping data center infrastructure, extending beyond accelerator-only racks to include CPU racks for the agent control plane and program execution" — a direct and strong read-through to Intel’s DCAI server CPU demand thesis.</w:t>
      </w:r>
    </w:p>
    <w:p>
      <w:pPr>
        <w:pStyle w:val="ListBullet"/>
        <w:ind w:left="360" w:hanging="360"/>
      </w:pPr>
      <w:r>
        <w:rPr>
          <w:rFonts w:ascii="Calibri" w:hAnsi="Calibri"/>
          <w:b/>
          <w:color w:val="525866"/>
          <w:sz w:val="22"/>
        </w:rPr>
        <w:t xml:space="preserve">Data Center Revenue Doubling — </w:t>
      </w:r>
      <w:r>
        <w:rPr>
          <w:rFonts w:ascii="Calibri" w:hAnsi="Calibri"/>
          <w:b/>
          <w:color w:val="30A46C"/>
          <w:sz w:val="22"/>
        </w:rPr>
        <w:t xml:space="preserve">POSITIVE for INTC. </w:t>
      </w:r>
      <w:r>
        <w:rPr>
          <w:rFonts w:ascii="Calibri" w:hAnsi="Calibri"/>
          <w:color w:val="525866"/>
          <w:sz w:val="22"/>
        </w:rPr>
        <w:t xml:space="preserve"> Micron’s data center revenue exceeded $5B in fiscal Q3, more than doubling sequentially. Industry data center DRAM and NAND shipments in calendar 2026 are expected to "more than double from two years ago." This confirms the scale of the AI infrastructure buildout that is driving Intel’s DCAI growth.</w:t>
      </w:r>
    </w:p>
    <w:p>
      <w:pPr>
        <w:pStyle w:val="ListBullet"/>
        <w:ind w:left="360" w:hanging="360"/>
      </w:pPr>
      <w:r>
        <w:rPr>
          <w:rFonts w:ascii="Calibri" w:hAnsi="Calibri"/>
          <w:b/>
          <w:color w:val="525866"/>
          <w:sz w:val="22"/>
        </w:rPr>
        <w:t xml:space="preserve">Memory Supply Tightness — </w:t>
      </w:r>
      <w:r>
        <w:rPr>
          <w:rFonts w:ascii="Calibri" w:hAnsi="Calibri"/>
          <w:b/>
          <w:color w:val="E5484D"/>
          <w:sz w:val="22"/>
        </w:rPr>
        <w:t xml:space="preserve">NEGATIVE for INTC. </w:t>
      </w:r>
      <w:r>
        <w:rPr>
          <w:rFonts w:ascii="Calibri" w:hAnsi="Calibri"/>
          <w:color w:val="525866"/>
          <w:sz w:val="22"/>
        </w:rPr>
        <w:t xml:space="preserve"> Micron stated "DRAM and NAND industry demand continues to significantly exceed industry supply" and expects "tight conditions to persist beyond calendar 2027." Micron has "no line of sight as to when memory supply will be able to catch up with increasing demand." This directly corroborates Intel’s Q1 warning that rising memory costs are a "growing headwind" in H2 2026 and could pressure Q2 gross margins.</w:t>
      </w:r>
    </w:p>
    <w:p>
      <w:pPr>
        <w:pStyle w:val="ListBullet"/>
        <w:ind w:left="360" w:hanging="360"/>
      </w:pPr>
      <w:r>
        <w:rPr>
          <w:rFonts w:ascii="Calibri" w:hAnsi="Calibri"/>
          <w:b/>
          <w:color w:val="525866"/>
          <w:sz w:val="22"/>
        </w:rPr>
        <w:t xml:space="preserve">PC Demand — </w:t>
      </w:r>
      <w:r>
        <w:rPr>
          <w:rFonts w:ascii="Calibri" w:hAnsi="Calibri"/>
          <w:b/>
          <w:color w:val="002FA7"/>
          <w:sz w:val="22"/>
        </w:rPr>
        <w:t xml:space="preserve">MIXED for INTC. </w:t>
      </w:r>
      <w:r>
        <w:rPr>
          <w:rFonts w:ascii="Calibri" w:hAnsi="Calibri"/>
          <w:color w:val="525866"/>
          <w:sz w:val="22"/>
        </w:rPr>
        <w:t xml:space="preserve"> Micron expects "PC and smartphone industry revenue to grow despite unit volume declines, reflecting resilient demand for high-end devices at higher prices." Long-term, on-device AI is expected to drive memory demand growth in PCs. This is consistent with Intel’s own view of a weak PC unit TAM but resilient AI PC mix.</w:t>
      </w:r>
    </w:p>
    <w:p>
      <w:pPr>
        <w:pStyle w:val="Heading3"/>
      </w:pPr>
      <w:r>
        <w:rPr>
          <w:rFonts w:ascii="Calibri" w:hAnsi="Calibri"/>
          <w:b/>
          <w:color w:val="3B4259"/>
          <w:sz w:val="24"/>
        </w:rPr>
        <w:t>Applied Materials — DRAM &amp; Advanced Packaging Master Class (June 25, 2026)</w:t>
      </w:r>
    </w:p>
    <w:p>
      <w:pPr>
        <w:pStyle w:val="ListBullet"/>
        <w:ind w:left="360" w:hanging="360"/>
      </w:pPr>
      <w:r>
        <w:rPr>
          <w:rFonts w:ascii="Calibri" w:hAnsi="Calibri"/>
          <w:b/>
          <w:color w:val="525866"/>
          <w:sz w:val="22"/>
        </w:rPr>
        <w:t xml:space="preserve">AI Driving Semiconductor Industry to ~$1 Trillion This Year — </w:t>
      </w:r>
      <w:r>
        <w:rPr>
          <w:rFonts w:ascii="Calibri" w:hAnsi="Calibri"/>
          <w:b/>
          <w:color w:val="30A46C"/>
          <w:sz w:val="22"/>
        </w:rPr>
        <w:t xml:space="preserve">POSITIVE for INTC. </w:t>
      </w:r>
      <w:r>
        <w:rPr>
          <w:rFonts w:ascii="Calibri" w:hAnsi="Calibri"/>
          <w:color w:val="525866"/>
          <w:sz w:val="22"/>
        </w:rPr>
        <w:t xml:space="preserve"> Applied Materials stated that AI is driving the semiconductor industry to approximately $1 trillion in annual sales in 2026 (vs. prior 2030 target), with Agentic and physical AI expected to drive the industry "to much higher levels over the next several years." Over 80% of WFE growth is attributed to leading-edge foundry logic, DRAM, and advanced packaging — all areas where Intel competes.</w:t>
      </w:r>
    </w:p>
    <w:p>
      <w:pPr>
        <w:pStyle w:val="ListBullet"/>
        <w:ind w:left="360" w:hanging="360"/>
      </w:pPr>
      <w:r>
        <w:rPr>
          <w:rFonts w:ascii="Calibri" w:hAnsi="Calibri"/>
          <w:b/>
          <w:color w:val="525866"/>
          <w:sz w:val="22"/>
        </w:rPr>
        <w:t xml:space="preserve">Advanced Packaging Business Up &gt;50% — </w:t>
      </w:r>
      <w:r>
        <w:rPr>
          <w:rFonts w:ascii="Calibri" w:hAnsi="Calibri"/>
          <w:b/>
          <w:color w:val="30A46C"/>
          <w:sz w:val="22"/>
        </w:rPr>
        <w:t xml:space="preserve">POSITIVE for INTC. </w:t>
      </w:r>
      <w:r>
        <w:rPr>
          <w:rFonts w:ascii="Calibri" w:hAnsi="Calibri"/>
          <w:color w:val="525866"/>
          <w:sz w:val="22"/>
        </w:rPr>
        <w:t xml:space="preserve"> Applied Materials’ advanced packaging revenue is expected to increase by "more than 50% to more than $2 billion" in 2026, having more than tripled since 2020. The company noted that "packaging has become as strategic to the computing industry as on-chip scaling." This validates Intel’s EMIB/Foveros advanced packaging investments as a high-growth, high-value revenue stream.</w:t>
      </w:r>
    </w:p>
    <w:p>
      <w:pPr>
        <w:pStyle w:val="ListBullet"/>
        <w:ind w:left="360" w:hanging="360"/>
      </w:pPr>
      <w:r>
        <w:rPr>
          <w:rFonts w:ascii="Calibri" w:hAnsi="Calibri"/>
          <w:b/>
          <w:color w:val="525866"/>
          <w:sz w:val="22"/>
        </w:rPr>
        <w:t xml:space="preserve">PC/Client Demand — </w:t>
      </w:r>
      <w:r>
        <w:rPr>
          <w:rFonts w:ascii="Calibri" w:hAnsi="Calibri"/>
          <w:b/>
          <w:color w:val="E5484D"/>
          <w:sz w:val="22"/>
        </w:rPr>
        <w:t xml:space="preserve">MIXED/NEGATIVE for INTC CCG. </w:t>
      </w:r>
      <w:r>
        <w:rPr>
          <w:rFonts w:ascii="Calibri" w:hAnsi="Calibri"/>
          <w:color w:val="525866"/>
          <w:sz w:val="22"/>
        </w:rPr>
        <w:t xml:space="preserve"> Applied Materials explicitly stated that current WFE growth "isn’t about the smartphone. It’s not about the PC, it’s about AI." The question of who pays for node improvements "has completely evaporated" because AI customers are "the most profitable companies on the planet." This implies PC-driven demand is not a meaningful growth driver for the semiconductor equipment cycle, consistent with Intel’s own H2 PC weakness guidance.</w:t>
      </w:r>
    </w:p>
    <w:p>
      <w:pPr>
        <w:pStyle w:val="ListBullet"/>
        <w:ind w:left="360" w:hanging="360"/>
      </w:pPr>
      <w:r>
        <w:rPr>
          <w:rFonts w:ascii="Calibri" w:hAnsi="Calibri"/>
          <w:b/>
          <w:color w:val="525866"/>
          <w:sz w:val="22"/>
        </w:rPr>
        <w:t xml:space="preserve">Leading-Edge Foundry Logic Outgrowing ICAPS — </w:t>
      </w:r>
      <w:r>
        <w:rPr>
          <w:rFonts w:ascii="Calibri" w:hAnsi="Calibri"/>
          <w:b/>
          <w:color w:val="30A46C"/>
          <w:sz w:val="22"/>
        </w:rPr>
        <w:t xml:space="preserve">POSITIVE for INTC Foundry. </w:t>
      </w:r>
      <w:r>
        <w:rPr>
          <w:rFonts w:ascii="Calibri" w:hAnsi="Calibri"/>
          <w:color w:val="525866"/>
          <w:sz w:val="22"/>
        </w:rPr>
        <w:t xml:space="preserve"> Applied Materials now expects leading-edge foundry logic to "outgrow ICAPS and drive well over 50% of foundry logic" going forward. Applied holds the highest process equipment market share in leading-edge foundry logic. This structural shift benefits Intel Foundry’s positioning in the 18A and 14A node segments.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Key Signal for INTC Q2</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TSMC</w:t>
            </w:r>
          </w:p>
        </w:tc>
        <w:tc>
          <w:tcPr>
            <w:tcW w:type="dxa" w:w="2160"/>
          </w:tcPr>
          <w:p>
            <w:r>
              <w:rPr>
                <w:rFonts w:ascii="Calibri" w:hAnsi="Calibri"/>
                <w:sz w:val="22"/>
              </w:rPr>
              <w:t>Jul 16, 2026</w:t>
            </w:r>
          </w:p>
        </w:tc>
        <w:tc>
          <w:tcPr>
            <w:tcW w:type="dxa" w:w="2160"/>
          </w:tcPr>
          <w:p>
            <w:r>
              <w:rPr>
                <w:rFonts w:ascii="Calibri" w:hAnsi="Calibri"/>
                <w:sz w:val="22"/>
              </w:rPr>
              <w:t>AI/server demand "extremely robust"; CPU resurgence in agentic AI; CapEx raised to $60–$64B</w:t>
            </w:r>
          </w:p>
        </w:tc>
        <w:tc>
          <w:tcPr>
            <w:tcW w:type="dxa" w:w="2160"/>
          </w:tcPr>
          <w:p>
            <w:r>
              <w:rPr>
                <w:rFonts w:ascii="Calibri" w:hAnsi="Calibri"/>
                <w:b/>
                <w:color w:val="30A46C"/>
                <w:sz w:val="22"/>
              </w:rPr>
              <w:t>Positive (DCAI)</w:t>
            </w:r>
          </w:p>
        </w:tc>
      </w:tr>
      <w:tr>
        <w:tc>
          <w:tcPr>
            <w:tcW w:type="dxa" w:w="2160"/>
          </w:tcPr>
          <w:p>
            <w:r>
              <w:rPr>
                <w:rFonts w:ascii="Calibri" w:hAnsi="Calibri"/>
                <w:sz w:val="22"/>
              </w:rPr>
              <w:t>TSMC</w:t>
            </w:r>
          </w:p>
        </w:tc>
        <w:tc>
          <w:tcPr>
            <w:tcW w:type="dxa" w:w="2160"/>
          </w:tcPr>
          <w:p>
            <w:r>
              <w:rPr>
                <w:rFonts w:ascii="Calibri" w:hAnsi="Calibri"/>
                <w:sz w:val="22"/>
              </w:rPr>
              <w:t>Jul 16, 2026</w:t>
            </w:r>
          </w:p>
        </w:tc>
        <w:tc>
          <w:tcPr>
            <w:tcW w:type="dxa" w:w="2160"/>
          </w:tcPr>
          <w:p>
            <w:r>
              <w:rPr>
                <w:rFonts w:ascii="Calibri" w:hAnsi="Calibri"/>
                <w:sz w:val="22"/>
              </w:rPr>
              <w:t>Consumer/PC end markets "challenged" by rising component prices</w:t>
            </w:r>
          </w:p>
        </w:tc>
        <w:tc>
          <w:tcPr>
            <w:tcW w:type="dxa" w:w="2160"/>
          </w:tcPr>
          <w:p>
            <w:r>
              <w:rPr>
                <w:rFonts w:ascii="Calibri" w:hAnsi="Calibri"/>
                <w:b/>
                <w:color w:val="E5484D"/>
                <w:sz w:val="22"/>
              </w:rPr>
              <w:t>Negative (CCG)</w:t>
            </w:r>
          </w:p>
        </w:tc>
      </w:tr>
      <w:tr>
        <w:tc>
          <w:tcPr>
            <w:tcW w:type="dxa" w:w="2160"/>
          </w:tcPr>
          <w:p>
            <w:r>
              <w:rPr>
                <w:rFonts w:ascii="Calibri" w:hAnsi="Calibri"/>
                <w:sz w:val="22"/>
              </w:rPr>
              <w:t>ASML</w:t>
            </w:r>
          </w:p>
        </w:tc>
        <w:tc>
          <w:tcPr>
            <w:tcW w:type="dxa" w:w="2160"/>
          </w:tcPr>
          <w:p>
            <w:r>
              <w:rPr>
                <w:rFonts w:ascii="Calibri" w:hAnsi="Calibri"/>
                <w:sz w:val="22"/>
              </w:rPr>
              <w:t>Jul 15, 2026</w:t>
            </w:r>
          </w:p>
        </w:tc>
        <w:tc>
          <w:tcPr>
            <w:tcW w:type="dxa" w:w="2160"/>
          </w:tcPr>
          <w:p>
            <w:r>
              <w:rPr>
                <w:rFonts w:ascii="Calibri" w:hAnsi="Calibri"/>
                <w:sz w:val="22"/>
              </w:rPr>
              <w:t>Confirmed Intel 18A High-NA EUV in production; raised FY guidance</w:t>
            </w:r>
          </w:p>
        </w:tc>
        <w:tc>
          <w:tcPr>
            <w:tcW w:type="dxa" w:w="2160"/>
          </w:tcPr>
          <w:p>
            <w:r>
              <w:rPr>
                <w:rFonts w:ascii="Calibri" w:hAnsi="Calibri"/>
                <w:b/>
                <w:color w:val="30A46C"/>
                <w:sz w:val="22"/>
              </w:rPr>
              <w:t>Positive (18A/Foundry)</w:t>
            </w:r>
          </w:p>
        </w:tc>
      </w:tr>
      <w:tr>
        <w:tc>
          <w:tcPr>
            <w:tcW w:type="dxa" w:w="2160"/>
          </w:tcPr>
          <w:p>
            <w:r>
              <w:rPr>
                <w:rFonts w:ascii="Calibri" w:hAnsi="Calibri"/>
                <w:sz w:val="22"/>
              </w:rPr>
              <w:t>Micron</w:t>
            </w:r>
          </w:p>
        </w:tc>
        <w:tc>
          <w:tcPr>
            <w:tcW w:type="dxa" w:w="2160"/>
          </w:tcPr>
          <w:p>
            <w:r>
              <w:rPr>
                <w:rFonts w:ascii="Calibri" w:hAnsi="Calibri"/>
                <w:sz w:val="22"/>
              </w:rPr>
              <w:t>Jun 24, 2026</w:t>
            </w:r>
          </w:p>
        </w:tc>
        <w:tc>
          <w:tcPr>
            <w:tcW w:type="dxa" w:w="2160"/>
          </w:tcPr>
          <w:p>
            <w:r>
              <w:rPr>
                <w:rFonts w:ascii="Calibri" w:hAnsi="Calibri"/>
                <w:sz w:val="22"/>
              </w:rPr>
              <w:t>Server unit growth raised to "high teens"; CPU racks key in agentic AI</w:t>
            </w:r>
          </w:p>
        </w:tc>
        <w:tc>
          <w:tcPr>
            <w:tcW w:type="dxa" w:w="2160"/>
          </w:tcPr>
          <w:p>
            <w:r>
              <w:rPr>
                <w:rFonts w:ascii="Calibri" w:hAnsi="Calibri"/>
                <w:b/>
                <w:color w:val="30A46C"/>
                <w:sz w:val="22"/>
              </w:rPr>
              <w:t>Positive (DCAI)</w:t>
            </w:r>
          </w:p>
        </w:tc>
      </w:tr>
      <w:tr>
        <w:tc>
          <w:tcPr>
            <w:tcW w:type="dxa" w:w="2160"/>
          </w:tcPr>
          <w:p>
            <w:r>
              <w:rPr>
                <w:rFonts w:ascii="Calibri" w:hAnsi="Calibri"/>
                <w:sz w:val="22"/>
              </w:rPr>
              <w:t>Micron</w:t>
            </w:r>
          </w:p>
        </w:tc>
        <w:tc>
          <w:tcPr>
            <w:tcW w:type="dxa" w:w="2160"/>
          </w:tcPr>
          <w:p>
            <w:r>
              <w:rPr>
                <w:rFonts w:ascii="Calibri" w:hAnsi="Calibri"/>
                <w:sz w:val="22"/>
              </w:rPr>
              <w:t>Jun 24, 2026</w:t>
            </w:r>
          </w:p>
        </w:tc>
        <w:tc>
          <w:tcPr>
            <w:tcW w:type="dxa" w:w="2160"/>
          </w:tcPr>
          <w:p>
            <w:r>
              <w:rPr>
                <w:rFonts w:ascii="Calibri" w:hAnsi="Calibri"/>
                <w:sz w:val="22"/>
              </w:rPr>
              <w:t>Memory supply tight beyond 2027; DRAM cost per bit rising — H2 gross margin headwind</w:t>
            </w:r>
          </w:p>
        </w:tc>
        <w:tc>
          <w:tcPr>
            <w:tcW w:type="dxa" w:w="2160"/>
          </w:tcPr>
          <w:p>
            <w:r>
              <w:rPr>
                <w:rFonts w:ascii="Calibri" w:hAnsi="Calibri"/>
                <w:b/>
                <w:color w:val="E5484D"/>
                <w:sz w:val="22"/>
              </w:rPr>
              <w:t>Negative (Gross Margin)</w:t>
            </w:r>
          </w:p>
        </w:tc>
      </w:tr>
      <w:tr>
        <w:tc>
          <w:tcPr>
            <w:tcW w:type="dxa" w:w="2160"/>
          </w:tcPr>
          <w:p>
            <w:r>
              <w:rPr>
                <w:rFonts w:ascii="Calibri" w:hAnsi="Calibri"/>
                <w:sz w:val="22"/>
              </w:rPr>
              <w:t>Applied Materials</w:t>
            </w:r>
          </w:p>
        </w:tc>
        <w:tc>
          <w:tcPr>
            <w:tcW w:type="dxa" w:w="2160"/>
          </w:tcPr>
          <w:p>
            <w:r>
              <w:rPr>
                <w:rFonts w:ascii="Calibri" w:hAnsi="Calibri"/>
                <w:sz w:val="22"/>
              </w:rPr>
              <w:t>Jun 25, 2026</w:t>
            </w:r>
          </w:p>
        </w:tc>
        <w:tc>
          <w:tcPr>
            <w:tcW w:type="dxa" w:w="2160"/>
          </w:tcPr>
          <w:p>
            <w:r>
              <w:rPr>
                <w:rFonts w:ascii="Calibri" w:hAnsi="Calibri"/>
                <w:sz w:val="22"/>
              </w:rPr>
              <w:t>Semiconductor industry at ~$1T in 2026; advanced packaging up &gt;50%; leading-edge logic outgrowing ICAPS</w:t>
            </w:r>
          </w:p>
        </w:tc>
        <w:tc>
          <w:tcPr>
            <w:tcW w:type="dxa" w:w="2160"/>
          </w:tcPr>
          <w:p>
            <w:r>
              <w:rPr>
                <w:rFonts w:ascii="Calibri" w:hAnsi="Calibri"/>
                <w:b/>
                <w:color w:val="30A46C"/>
                <w:sz w:val="22"/>
              </w:rPr>
              <w:t>Positive (Foundry/Packaging)</w:t>
            </w:r>
          </w:p>
        </w:tc>
      </w:tr>
      <w:tr>
        <w:tc>
          <w:tcPr>
            <w:tcW w:type="dxa" w:w="2160"/>
          </w:tcPr>
          <w:p>
            <w:r>
              <w:rPr>
                <w:rFonts w:ascii="Calibri" w:hAnsi="Calibri"/>
                <w:sz w:val="22"/>
              </w:rPr>
              <w:t>Applied Materials</w:t>
            </w:r>
          </w:p>
        </w:tc>
        <w:tc>
          <w:tcPr>
            <w:tcW w:type="dxa" w:w="2160"/>
          </w:tcPr>
          <w:p>
            <w:r>
              <w:rPr>
                <w:rFonts w:ascii="Calibri" w:hAnsi="Calibri"/>
                <w:sz w:val="22"/>
              </w:rPr>
              <w:t>Jun 25, 2026</w:t>
            </w:r>
          </w:p>
        </w:tc>
        <w:tc>
          <w:tcPr>
            <w:tcW w:type="dxa" w:w="2160"/>
          </w:tcPr>
          <w:p>
            <w:r>
              <w:rPr>
                <w:rFonts w:ascii="Calibri" w:hAnsi="Calibri"/>
                <w:sz w:val="22"/>
              </w:rPr>
              <w:t>PC/smartphone not driving WFE growth; AI customers are the only growth engine</w:t>
            </w:r>
          </w:p>
        </w:tc>
        <w:tc>
          <w:tcPr>
            <w:tcW w:type="dxa" w:w="2160"/>
          </w:tcPr>
          <w:p>
            <w:r>
              <w:rPr>
                <w:rFonts w:ascii="Calibri" w:hAnsi="Calibri"/>
                <w:b/>
                <w:color w:val="E5484D"/>
                <w:sz w:val="22"/>
              </w:rPr>
              <w:t>Mixed/Negative (CCG)</w:t>
            </w:r>
          </w:p>
        </w:tc>
      </w:tr>
    </w:tbl>
    <w:p>
      <w:r>
        <w:rPr>
          <w:rFonts w:ascii="Calibri" w:hAnsi="Calibri"/>
          <w:b/>
          <w:color w:val="525866"/>
          <w:sz w:val="22"/>
        </w:rPr>
        <w:t xml:space="preserve">Overall Peer Read-Through: </w:t>
      </w:r>
      <w:r>
        <w:rPr>
          <w:rFonts w:ascii="Calibri" w:hAnsi="Calibri"/>
          <w:color w:val="525866"/>
          <w:sz w:val="22"/>
        </w:rPr>
        <w:t>The peer mosaic is overwhelmingly positive for Intel’s DCAI and foundry businesses heading into Q2 — every major peer confirmed robust AI/server demand, CPU resurgence in agentic workloads, and strong advanced packaging demand. The consistent negative signal is on PC/client demand and memory cost inflation, both of which Intel has already guided for. The ASML 18A High-NA EUV production confirmation is the single most important external data point, as it provides third-party validation of Intel’s most critical manufacturing milestone.</w:t>
      </w:r>
    </w:p>
    <w:p>
      <w:r>
        <w:rPr>
          <w:rFonts w:ascii="Calibri" w:hAnsi="Calibri"/>
          <w:i/>
          <w:color w:val="525866"/>
          <w:sz w:val="22"/>
        </w:rPr>
        <w:t>Sources: TSMC Q2 2026 Earnings Call Transcript (July 16, 2026); ASML Q2 2026 Earnings Call Transcript (July 15, 2026); Micron Technology Fiscal Q3 2026 Earnings Call Transcript (June 24, 2026); Applied Materials DRAM and Advanced Packaging Master Class Call Transcript (June 25,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Only two open-market sales were disclosed in the post-Q1 window, both by departing or operationally-focused executives — </w:t>
      </w:r>
      <w:r>
        <w:rPr>
          <w:rFonts w:ascii="Calibri" w:hAnsi="Calibri"/>
          <w:b/>
          <w:color w:val="525866"/>
          <w:sz w:val="22"/>
        </w:rPr>
        <w:t>no open-market buys were filed</w:t>
      </w:r>
      <w:r>
        <w:rPr>
          <w:rFonts w:ascii="Calibri" w:hAnsi="Calibri"/>
          <w:color w:val="525866"/>
          <w:sz w:val="22"/>
        </w:rPr>
        <w:t>, and neither sale appears to be a discretionary bearish signal given the context of each transaction.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 (Effective)</w:t>
            </w:r>
          </w:p>
        </w:tc>
        <w:tc>
          <w:tcPr>
            <w:tcW w:type="dxa" w:w="1234"/>
            <w:shd w:val="clear" w:color="auto" w:fill="3B4259"/>
          </w:tcPr>
          <w:p>
            <w:r>
              <w:rPr>
                <w:rFonts w:ascii="Calibri" w:hAnsi="Calibri"/>
                <w:b/>
                <w:color w:val="FFFFFF"/>
                <w:sz w:val="22"/>
              </w:rPr>
              <w:t>Disclosure Date (Form 4 Filed)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April Miller Boise</w:t>
            </w:r>
          </w:p>
        </w:tc>
        <w:tc>
          <w:tcPr>
            <w:tcW w:type="dxa" w:w="1234"/>
          </w:tcPr>
          <w:p>
            <w:r>
              <w:rPr>
                <w:rFonts w:ascii="Calibri" w:hAnsi="Calibri"/>
                <w:sz w:val="22"/>
              </w:rPr>
              <w:t>EVP &amp; Chief Legal Officer</w:t>
            </w:r>
          </w:p>
        </w:tc>
        <w:tc>
          <w:tcPr>
            <w:tcW w:type="dxa" w:w="1234"/>
          </w:tcPr>
          <w:p>
            <w:r>
              <w:rPr>
                <w:rFonts w:ascii="Calibri" w:hAnsi="Calibri"/>
                <w:sz w:val="22"/>
              </w:rPr>
              <w:t>Open Market Sale</w:t>
            </w:r>
          </w:p>
        </w:tc>
        <w:tc>
          <w:tcPr>
            <w:tcW w:type="dxa" w:w="1234"/>
          </w:tcPr>
          <w:p>
            <w:r>
              <w:rPr>
                <w:rFonts w:ascii="Calibri" w:hAnsi="Calibri"/>
                <w:sz w:val="22"/>
              </w:rPr>
              <w:t>40,256 shares</w:t>
            </w:r>
          </w:p>
        </w:tc>
        <w:tc>
          <w:tcPr>
            <w:tcW w:type="dxa" w:w="1234"/>
          </w:tcPr>
          <w:p>
            <w:r>
              <w:rPr>
                <w:rFonts w:ascii="Calibri" w:hAnsi="Calibri"/>
                <w:sz w:val="22"/>
              </w:rPr>
              <w:t>May 1, 2026</w:t>
            </w:r>
          </w:p>
        </w:tc>
        <w:tc>
          <w:tcPr>
            <w:tcW w:type="dxa" w:w="1234"/>
          </w:tcPr>
          <w:p>
            <w:r>
              <w:rPr>
                <w:rFonts w:ascii="Calibri" w:hAnsi="Calibri"/>
                <w:sz w:val="22"/>
              </w:rPr>
              <w:t>May 4, 2026</w:t>
            </w:r>
          </w:p>
        </w:tc>
        <w:tc>
          <w:tcPr>
            <w:tcW w:type="dxa" w:w="1234"/>
          </w:tcPr>
          <w:p>
            <w:r>
              <w:rPr>
                <w:rFonts w:ascii="Calibri" w:hAnsi="Calibri"/>
                <w:sz w:val="22"/>
              </w:rPr>
              <w:t>Sold ~10 days after Intel announced her departure (April 3, 2026 8-K); likely liquidation ahead of departure; not a discretionary bearish signal. Retained 105,077 shares post-sale.</w:t>
            </w:r>
          </w:p>
        </w:tc>
      </w:tr>
      <w:tr>
        <w:tc>
          <w:tcPr>
            <w:tcW w:type="dxa" w:w="1234"/>
          </w:tcPr>
          <w:p>
            <w:r>
              <w:rPr>
                <w:rFonts w:ascii="Calibri" w:hAnsi="Calibri"/>
                <w:sz w:val="22"/>
              </w:rPr>
              <w:t>Chandrasekaran Nagasubramaniyan ("Naga")</w:t>
            </w:r>
          </w:p>
        </w:tc>
        <w:tc>
          <w:tcPr>
            <w:tcW w:type="dxa" w:w="1234"/>
          </w:tcPr>
          <w:p>
            <w:r>
              <w:rPr>
                <w:rFonts w:ascii="Calibri" w:hAnsi="Calibri"/>
                <w:sz w:val="22"/>
              </w:rPr>
              <w:t>EVP, Chief Technology &amp; Operations Officer; GM Foundry</w:t>
            </w:r>
          </w:p>
        </w:tc>
        <w:tc>
          <w:tcPr>
            <w:tcW w:type="dxa" w:w="1234"/>
          </w:tcPr>
          <w:p>
            <w:r>
              <w:rPr>
                <w:rFonts w:ascii="Calibri" w:hAnsi="Calibri"/>
                <w:sz w:val="22"/>
              </w:rPr>
              <w:t>Open Market Sale</w:t>
            </w:r>
          </w:p>
        </w:tc>
        <w:tc>
          <w:tcPr>
            <w:tcW w:type="dxa" w:w="1234"/>
          </w:tcPr>
          <w:p>
            <w:r>
              <w:rPr>
                <w:rFonts w:ascii="Calibri" w:hAnsi="Calibri"/>
                <w:sz w:val="22"/>
              </w:rPr>
              <w:t>21,024 shares</w:t>
            </w:r>
          </w:p>
        </w:tc>
        <w:tc>
          <w:tcPr>
            <w:tcW w:type="dxa" w:w="1234"/>
          </w:tcPr>
          <w:p>
            <w:r>
              <w:rPr>
                <w:rFonts w:ascii="Calibri" w:hAnsi="Calibri"/>
                <w:sz w:val="22"/>
              </w:rPr>
              <w:t>May 29, 2026</w:t>
            </w:r>
          </w:p>
        </w:tc>
        <w:tc>
          <w:tcPr>
            <w:tcW w:type="dxa" w:w="1234"/>
          </w:tcPr>
          <w:p>
            <w:r>
              <w:rPr>
                <w:rFonts w:ascii="Calibri" w:hAnsi="Calibri"/>
                <w:sz w:val="22"/>
              </w:rPr>
              <w:t>June 2, 2026</w:t>
            </w:r>
          </w:p>
        </w:tc>
        <w:tc>
          <w:tcPr>
            <w:tcW w:type="dxa" w:w="1234"/>
          </w:tcPr>
          <w:p>
            <w:r>
              <w:rPr>
                <w:rFonts w:ascii="Calibri" w:hAnsi="Calibri"/>
                <w:sz w:val="22"/>
              </w:rPr>
              <w:t>Not flagged as 10b5-1 plan; sold at ~$115 (near-term high). Retained 205,852 shares post-sale. Naga is a key operational executive; sale is modest relative to retained position (~9% of holdings). Warrants monitoring but not alarming.</w:t>
            </w:r>
          </w:p>
        </w:tc>
      </w:tr>
    </w:tbl>
    <w:p>
      <w:r>
        <w:rPr>
          <w:rFonts w:ascii="Calibri" w:hAnsi="Calibri"/>
          <w:b/>
          <w:color w:val="525866"/>
          <w:sz w:val="22"/>
        </w:rPr>
        <w:t xml:space="preserve">Assessment: </w:t>
      </w:r>
      <w:r>
        <w:rPr>
          <w:rFonts w:ascii="Calibri" w:hAnsi="Calibri"/>
          <w:color w:val="525866"/>
          <w:sz w:val="22"/>
        </w:rPr>
        <w:t>The absence of open-market buys is notable given the stock’s ~27% pullback from its June peak, but the two sales are both explainable by context (departure liquidation for Miller Boise; modest portfolio trim for Naga). No clustered insider selling, no 10b5-1 plan initiations, and no unusual transaction sizes. The insider picture is neutral — neither a bullish nor bearish signal heading into Q2 earnings.</w:t>
      </w:r>
    </w:p>
    <w:p>
      <w:r>
        <w:rPr>
          <w:rFonts w:ascii="Calibri" w:hAnsi="Calibri"/>
          <w:i/>
          <w:color w:val="525866"/>
          <w:sz w:val="22"/>
        </w:rPr>
        <w:t>Source: SEC Form 4 Filings Database (Insider Transaction Data). Transaction dates are effective execution dates; disclosure dates are Form 4 filing dates with the SEC.</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