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ey-earnings-predictions--2026-07-21"/>
    <w:p>
      <w:pPr>
        <w:pStyle w:val="Heading1"/>
      </w:pPr>
      <w:r>
        <w:t xml:space="preserve">KEY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(diluted)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~$0.44 vs. cons $0.42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(TE)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1.19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IB &amp; debt placement fees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177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181M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NII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~+9–10% (nudged to top/+10%) vs. cons ~+9%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exit NIM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~3.05% vs. cons ~3.03% (exit-4Q2026)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avg loan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~+2–4% total / +6–8% commercial vs. cons ~+3%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IB fee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~mid-single-digit off ~$780M vs. cons ~+5%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buyback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~≥</w:t>
            </w:r>
            <m:oMath>
              <m:r>
                <m:t>1.3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f</m:t>
              </m:r>
              <m:r>
                <m:t>l</m:t>
              </m:r>
              <m:r>
                <m:t>o</m:t>
              </m:r>
              <m:r>
                <m:t>o</m:t>
              </m:r>
              <m:r>
                <m:t>r</m:t>
              </m:r>
              <m:r>
                <m:rPr>
                  <m:sty m:val="p"/>
                </m:rPr>
                <m:t>,</m:t>
              </m:r>
              <m:r>
                <m:t> </m:t>
              </m:r>
            </m:oMath>
            <w:r>
              <w:t xml:space="preserve">300M+/qtr) vs. cons ~$1.3B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Provision / credit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provision ~</w:t>
            </w:r>
            <m:oMath>
              <m:r>
                <m:t>110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120M (Q2 y/y favorable vs $138M)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+0.2% (FADE)</w:t>
            </w:r>
          </w:p>
        </w:tc>
        <w:tc>
          <w:tcPr/>
          <w:p>
            <w:pPr>
              <w:pStyle w:val="Compact"/>
            </w:pPr>
            <w:r>
              <w:t xml:space="preserve">NII beat and a reaffirmed/nudged-up FY NII-NIM guide likely spark a modest day-1 pop, but a fully re-rated stock near multi-year highs (up ~24% off the March low) with a negative Zacks ESP and estimates already drifting lower (</w:t>
            </w:r>
            <m:oMath>
              <m:r>
                <m:t>0.44</m:t>
              </m:r>
              <m:r>
                <m:rPr>
                  <m:sty m:val="p"/>
                </m:rPr>
                <m:t>→</m:t>
              </m:r>
            </m:oMath>
            <w:r>
              <w:t xml:space="preserve">0.42) caps upside. IB fees guided/printing below Street and the middle-market M&amp;A overhang give analysts reason to trim out-period fee estimates even after a headline beat, so the initial gain fades toward flat.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2026-07-21T00:38:01Z</dcterms:created>
  <dcterms:modified xsi:type="dcterms:W3CDTF">2026-07-21T00:38:01Z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