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I'll research KeyCorp (KEY) before writing the preview. Let me pull recent earnings materials, filings, and news.Let me read the most recent earnings materials and check recent news over a broader window.Let me check the stock's recent trajectory and any recent news around this earnings date.Let me pull the prior-year Q2 2025 figures for comparison and any recent sector/rate context.I have strong fundamental data. Let me quickly check consensus expectations and the latest analyst/rate backdrop via web search.# KeyCorp (KEY) — Q2 2026 Earnings Preview</w:t>
      </w:r>
      <w:r>
        <w:t xml:space="preserve"> </w:t>
      </w:r>
      <w:r>
        <w:rPr>
          <w:b/>
          <w:bCs/>
        </w:rPr>
        <w:t xml:space="preserve">Reports:</w:t>
      </w:r>
      <w:r>
        <w:t xml:space="preserve"> </w:t>
      </w:r>
      <w:r>
        <w:t xml:space="preserve">Tuesday, July 21, 2026 (before market open) ·</w:t>
      </w:r>
      <w:r>
        <w:t xml:space="preserve"> </w:t>
      </w:r>
      <w:r>
        <w:rPr>
          <w:b/>
          <w:bCs/>
        </w:rPr>
        <w:t xml:space="preserve">Call:</w:t>
      </w:r>
      <w:r>
        <w:t xml:space="preserve"> </w:t>
      </w:r>
      <w:r>
        <w:t xml:space="preserve">2026Q2 Earnings Call</w:t>
      </w:r>
    </w:p>
    <w:p>
      <w:r>
        <w:pict>
          <v:rect style="width:0;height:1.5pt" o:hralign="center" o:hrstd="t" o:hr="t"/>
        </w:pict>
      </w:r>
    </w:p>
    <w:bookmarkStart w:id="9" w:name="the-setup-in-one-line"/>
    <w:p>
      <w:pPr>
        <w:pStyle w:val="Heading2"/>
      </w:pPr>
      <w:r>
        <w:t xml:space="preserve">The Setup in One Line</w:t>
      </w:r>
    </w:p>
    <w:p>
      <w:pPr>
        <w:pStyle w:val="FirstParagraph"/>
      </w:pPr>
      <w:r>
        <w:t xml:space="preserve">KeyCorp heads into Q2 with a strong tailwind story intact — expanding margin, broad-based commercial loan growth, and a management team that</w:t>
      </w:r>
      <w:r>
        <w:t xml:space="preserve"> </w:t>
      </w:r>
      <w:r>
        <w:rPr>
          <w:i/>
          <w:iCs/>
        </w:rPr>
        <w:t xml:space="preserve">raised</w:t>
      </w:r>
      <w:r>
        <w:t xml:space="preserve"> </w:t>
      </w:r>
      <w:r>
        <w:t xml:space="preserve">full-year NII and loan guidance just last quarter. The question for this print isn't whether trends are improving; it's whether an already-appreciated stock (near multi-year highs) gets rewarded for delivering what's now widely expected, especially with investment banking guided</w:t>
      </w:r>
      <w:r>
        <w:t xml:space="preserve"> </w:t>
      </w:r>
      <w:r>
        <w:rPr>
          <w:i/>
          <w:iCs/>
        </w:rPr>
        <w:t xml:space="preserve">down</w:t>
      </w:r>
      <w:r>
        <w:t xml:space="preserve"> </w:t>
      </w:r>
      <w:r>
        <w:t xml:space="preserve">sequentially.</w:t>
      </w:r>
    </w:p>
    <w:bookmarkEnd w:id="9"/>
    <w:bookmarkStart w:id="10" w:name="consensus-expectations"/>
    <w:p>
      <w:pPr>
        <w:pStyle w:val="Heading2"/>
      </w:pPr>
      <w:r>
        <w:t xml:space="preserve">Consensus Expectations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</w:pPr>
            <w:r>
              <w:t xml:space="preserve">Q2 2026 Consensus</w:t>
            </w:r>
          </w:p>
        </w:tc>
        <w:tc>
          <w:tcPr/>
          <w:p>
            <w:pPr>
              <w:pStyle w:val="Compact"/>
            </w:pPr>
            <w:r>
              <w:t xml:space="preserve">Q2 2025 Actual</w:t>
            </w:r>
          </w:p>
        </w:tc>
        <w:tc>
          <w:tcPr/>
          <w:p>
            <w:pPr>
              <w:pStyle w:val="Compact"/>
            </w:pPr>
            <w:r>
              <w:t xml:space="preserve">Implied Y/Y</w:t>
            </w:r>
          </w:p>
        </w:tc>
      </w:tr>
      <w:tr>
        <w:tc>
          <w:tcPr/>
          <w:p>
            <w:pPr>
              <w:pStyle w:val="Compact"/>
            </w:pPr>
            <w:r>
              <w:t xml:space="preserve">EPS (diluted)</w:t>
            </w:r>
          </w:p>
        </w:tc>
        <w:tc>
          <w:tcPr/>
          <w:p>
            <w:pPr>
              <w:pStyle w:val="Compact"/>
            </w:pPr>
            <w:r>
              <w:t xml:space="preserve">~$0.42</w:t>
            </w:r>
          </w:p>
        </w:tc>
        <w:tc>
          <w:tcPr/>
          <w:p>
            <w:pPr>
              <w:pStyle w:val="Compact"/>
            </w:pPr>
            <w:r>
              <w:t xml:space="preserve">$0.35</w:t>
            </w:r>
          </w:p>
        </w:tc>
        <w:tc>
          <w:tcPr/>
          <w:p>
            <w:pPr>
              <w:pStyle w:val="Compact"/>
            </w:pPr>
            <w:r>
              <w:t xml:space="preserve">+20%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~$1.97B</w:t>
            </w:r>
          </w:p>
        </w:tc>
        <w:tc>
          <w:tcPr/>
          <w:p>
            <w:pPr>
              <w:pStyle w:val="Compact"/>
            </w:pPr>
            <w:r>
              <w:t xml:space="preserve">$1.84B (TE)</w:t>
            </w:r>
          </w:p>
        </w:tc>
        <w:tc>
          <w:tcPr/>
          <w:p>
            <w:pPr>
              <w:pStyle w:val="Compact"/>
            </w:pPr>
            <w:r>
              <w:t xml:space="preserve">+7%</w:t>
            </w:r>
          </w:p>
        </w:tc>
      </w:tr>
      <w:tr>
        <w:tc>
          <w:tcPr/>
          <w:p>
            <w:pPr>
              <w:pStyle w:val="Compact"/>
            </w:pPr>
            <w:r>
              <w:t xml:space="preserve">IB &amp; debt placement fees</w:t>
            </w:r>
          </w:p>
        </w:tc>
        <w:tc>
          <w:tcPr/>
          <w:p>
            <w:pPr>
              <w:pStyle w:val="Compact"/>
            </w:pPr>
            <w:r>
              <w:t xml:space="preserve">~$181M</w:t>
            </w:r>
          </w:p>
        </w:tc>
        <w:tc>
          <w:tcPr/>
          <w:p>
            <w:pPr>
              <w:pStyle w:val="Compact"/>
            </w:pPr>
            <w:r>
              <w:t xml:space="preserve">$178M</w:t>
            </w:r>
          </w:p>
        </w:tc>
        <w:tc>
          <w:tcPr/>
          <w:p>
            <w:pPr>
              <w:pStyle w:val="Compact"/>
            </w:pPr>
            <w:r>
              <w:t xml:space="preserve">+2%</w:t>
            </w:r>
          </w:p>
        </w:tc>
      </w:tr>
      <w:tr>
        <w:tc>
          <w:tcPr/>
          <w:p>
            <w:pPr>
              <w:pStyle w:val="Compact"/>
            </w:pPr>
            <w:r>
              <w:t xml:space="preserve">Service charges on deposits</w:t>
            </w:r>
          </w:p>
        </w:tc>
        <w:tc>
          <w:tcPr/>
          <w:p>
            <w:pPr>
              <w:pStyle w:val="Compact"/>
            </w:pPr>
            <w:r>
              <w:t xml:space="preserve">~$79M</w:t>
            </w:r>
          </w:p>
        </w:tc>
        <w:tc>
          <w:tcPr/>
          <w:p>
            <w:pPr>
              <w:pStyle w:val="Compact"/>
            </w:pPr>
            <w:r>
              <w:t xml:space="preserve">$73M</w:t>
            </w:r>
          </w:p>
        </w:tc>
        <w:tc>
          <w:tcPr/>
          <w:p>
            <w:pPr>
              <w:pStyle w:val="Compact"/>
            </w:pPr>
            <w:r>
              <w:t xml:space="preserve">+8%</w:t>
            </w:r>
          </w:p>
        </w:tc>
      </w:tr>
    </w:tbl>
    <w:p>
      <w:pPr>
        <w:pStyle w:val="BodyText"/>
      </w:pPr>
      <w:r>
        <w:t xml:space="preserve">A few nuances worth flagging: the</w:t>
      </w:r>
      <w:r>
        <w:t xml:space="preserve"> </w:t>
      </w:r>
      <m:oMath>
        <m:r>
          <m:t>0.42</m:t>
        </m:r>
        <m:r>
          <m:t>c</m:t>
        </m:r>
        <m:r>
          <m:t>o</m:t>
        </m:r>
        <m:r>
          <m:t>n</m:t>
        </m:r>
        <m:r>
          <m:t>s</m:t>
        </m:r>
        <m:r>
          <m:t>e</m:t>
        </m:r>
        <m:r>
          <m:t>n</m:t>
        </m:r>
        <m:r>
          <m:t>s</m:t>
        </m:r>
        <m:r>
          <m:t>u</m:t>
        </m:r>
        <m:r>
          <m:t>s</m:t>
        </m:r>
        <m:r>
          <m:t>h</m:t>
        </m:r>
        <m:r>
          <m:t>a</m:t>
        </m:r>
        <m:r>
          <m:t>s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d</m:t>
        </m:r>
        <m:r>
          <m:t>r</m:t>
        </m:r>
        <m:r>
          <m:t>i</m:t>
        </m:r>
        <m:r>
          <m:t>f</m:t>
        </m:r>
        <m:r>
          <m:t>t</m:t>
        </m:r>
        <m:r>
          <m:t>e</m:t>
        </m:r>
        <m:r>
          <m:t>d</m:t>
        </m:r>
        <m:r>
          <m:t>l</m:t>
        </m:r>
        <m:r>
          <m:t>o</m:t>
        </m:r>
        <m:r>
          <m:t>w</m:t>
        </m:r>
        <m:r>
          <m:t>e</m:t>
        </m:r>
        <m:r>
          <m:t>r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i</m:t>
        </m:r>
        <m:r>
          <m:t>n</m:t>
        </m:r>
        <m:r>
          <m:t>r</m:t>
        </m:r>
        <m:r>
          <m:t>e</m:t>
        </m:r>
        <m:r>
          <m:t>c</m:t>
        </m:r>
        <m:r>
          <m:t>e</m:t>
        </m:r>
        <m:r>
          <m:t>n</m:t>
        </m:r>
        <m:r>
          <m:t>t</m:t>
        </m:r>
        <m:r>
          <m:t>m</m:t>
        </m:r>
        <m:r>
          <m:t>o</m:t>
        </m:r>
        <m:r>
          <m:t>n</m:t>
        </m:r>
        <m:r>
          <m:t>t</m:t>
        </m:r>
        <m:r>
          <m:t>h</m:t>
        </m:r>
        <m:r>
          <m:t>s</m:t>
        </m:r>
        <m:r>
          <m:rPr>
            <m:sty m:val="p"/>
          </m:rPr>
          <m:t>(</m:t>
        </m:r>
        <m:r>
          <m:t>f</m:t>
        </m:r>
        <m:r>
          <m:t>r</m:t>
        </m:r>
        <m:r>
          <m:t>o</m:t>
        </m:r>
        <m:r>
          <m:t>m</m:t>
        </m:r>
        <m:r>
          <m:t> </m:t>
        </m:r>
      </m:oMath>
      <w:r>
        <w:t xml:space="preserve">0.44 a quarter ago), and Zacks assigns a slightly negative Earnings ESP with a Rank #3 (Hold) — i.e., the model does not signal a likely beat. That's notable given Key has been in the habit of beating (Q1 2026 came in at</w:t>
      </w:r>
      <w:r>
        <w:t xml:space="preserve"> </w:t>
      </w:r>
      <m:oMath>
        <m:r>
          <m:t>0.44</m:t>
        </m:r>
        <m:r>
          <m:t>v</m:t>
        </m:r>
        <m:r>
          <m:t>s</m:t>
        </m:r>
        <m:r>
          <m:rPr>
            <m:sty m:val="p"/>
          </m:rPr>
          <m:t>.</m:t>
        </m:r>
        <m:r>
          <m:t>a</m:t>
        </m:r>
        <m:r>
          <m:t> </m:t>
        </m:r>
      </m:oMath>
      <w:r>
        <w:t xml:space="preserve">0.41 Street number).</w:t>
      </w:r>
    </w:p>
    <w:bookmarkEnd w:id="10"/>
    <w:bookmarkStart w:id="11" w:name="what-actually-matters-this-quarter"/>
    <w:p>
      <w:pPr>
        <w:pStyle w:val="Heading2"/>
      </w:pPr>
      <w:r>
        <w:t xml:space="preserve">What Actually Matters This Quarter</w:t>
      </w:r>
    </w:p>
    <w:p>
      <w:pPr>
        <w:pStyle w:val="FirstParagraph"/>
      </w:pPr>
      <w:r>
        <w:rPr>
          <w:b/>
          <w:bCs/>
        </w:rPr>
        <w:t xml:space="preserve">1. Net interest income &amp; margin — the core of the thesis.</w:t>
      </w:r>
      <w:r>
        <w:t xml:space="preserve"> </w:t>
      </w:r>
      <w:r>
        <w:t xml:space="preserve">On the Q1 call, management</w:t>
      </w:r>
      <w:r>
        <w:t xml:space="preserve"> </w:t>
      </w:r>
      <w:r>
        <w:rPr>
          <w:i/>
          <w:iCs/>
        </w:rPr>
        <w:t xml:space="preserve">raised</w:t>
      </w:r>
      <w:r>
        <w:t xml:space="preserve"> </w:t>
      </w:r>
      <w:r>
        <w:t xml:space="preserve">full-year NII guidance to</w:t>
      </w:r>
      <w:r>
        <w:t xml:space="preserve"> </w:t>
      </w:r>
      <w:r>
        <w:rPr>
          <w:b/>
          <w:bCs/>
        </w:rPr>
        <w:t xml:space="preserve">+9–10%</w:t>
      </w:r>
      <w:r>
        <w:t xml:space="preserve"> </w:t>
      </w:r>
      <w:r>
        <w:t xml:space="preserve">and now expects to</w:t>
      </w:r>
      <w:r>
        <w:t xml:space="preserve"> </w:t>
      </w:r>
      <w:r>
        <w:rPr>
          <w:b/>
          <w:bCs/>
        </w:rPr>
        <w:t xml:space="preserve">exit 2026 with NIM around 3.05%</w:t>
      </w:r>
      <w:r>
        <w:t xml:space="preserve"> </w:t>
      </w:r>
      <w:r>
        <w:t xml:space="preserve">(from 2.87% in Q1), on a base case of</w:t>
      </w:r>
      <w:r>
        <w:t xml:space="preserve"> </w:t>
      </w:r>
      <w:r>
        <w:rPr>
          <w:b/>
          <w:bCs/>
        </w:rPr>
        <w:t xml:space="preserve">no rate cuts</w:t>
      </w:r>
      <w:r>
        <w:t xml:space="preserve"> </w:t>
      </w:r>
      <w:r>
        <w:t xml:space="preserve">in 2026. Q1 NIM expanded 5 bps sequentially, marking continued upward repricing of swaps/securities and disciplined deposit-cost management (through-the-cycle interest-bearing deposit beta of 56%). Watch whether the margin march continues and whether the "no cuts" base case still holds — a September cut back on the table would be a modest positive for Key given its slightly asset-sensitive-to-short-rates positioning, but the bigger swing factor is 3–5yr reinvestment rates.</w:t>
      </w:r>
    </w:p>
    <w:p>
      <w:pPr>
        <w:pStyle w:val="BodyText"/>
      </w:pPr>
      <w:r>
        <w:rPr>
          <w:b/>
          <w:bCs/>
        </w:rPr>
        <w:t xml:space="preserve">2. Loan growth and the deposit trough.</w:t>
      </w:r>
      <w:r>
        <w:t xml:space="preserve"> </w:t>
      </w:r>
      <w:r>
        <w:t xml:space="preserve">Q1 commercial loan growth was strong and broad-based (+</w:t>
      </w:r>
      <m:oMath>
        <m:r>
          <m:t>3.3</m:t>
        </m:r>
        <m:r>
          <m:t>B</m:t>
        </m:r>
        <m:r>
          <m:t>p</m:t>
        </m:r>
        <m:r>
          <m:t>e</m:t>
        </m:r>
        <m:r>
          <m:t>r</m:t>
        </m:r>
        <m:r>
          <m:t>i</m:t>
        </m:r>
        <m:r>
          <m:t>o</m:t>
        </m:r>
        <m:r>
          <m:t>d</m:t>
        </m:r>
        <m:r>
          <m:rPr>
            <m:sty m:val="p"/>
          </m:rPr>
          <m:t>−</m:t>
        </m:r>
        <m:r>
          <m:t>e</m:t>
        </m:r>
        <m:r>
          <m:t>n</m:t>
        </m:r>
        <m:r>
          <m:t>d</m:t>
        </m:r>
        <m:r>
          <m:rPr>
            <m:sty m:val="p"/>
          </m:rPr>
          <m:t>,</m:t>
        </m:r>
        <m:r>
          <m:rPr>
            <m:sty m:val="p"/>
          </m:rPr>
          <m:t>+</m:t>
        </m:r>
        <m:r>
          <m:t>4</m:t>
        </m:r>
      </m:oMath>
      <w:r>
        <w:t xml:space="preserve">0.5–0.6B/quarter of low-yielding residential mortgages. On deposits, management guided the balance to</w:t>
      </w:r>
      <w:r>
        <w:t xml:space="preserve"> </w:t>
      </w:r>
      <w:r>
        <w:rPr>
          <w:b/>
          <w:bCs/>
        </w:rPr>
        <w:t xml:space="preserve">trough in early May and build through year-end</w:t>
      </w:r>
      <w:r>
        <w:t xml:space="preserve"> </w:t>
      </w:r>
      <w:r>
        <w:t xml:space="preserve">— so watch period-end (June 30) deposit balances as the tell on funding capacity for 2H loan growth.</w:t>
      </w:r>
    </w:p>
    <w:p>
      <w:pPr>
        <w:pStyle w:val="BodyText"/>
      </w:pPr>
      <w:r>
        <w:rPr>
          <w:b/>
          <w:bCs/>
        </w:rPr>
        <w:t xml:space="preserve">3. Investment banking — the swing factor and the risk.</w:t>
      </w:r>
      <w:r>
        <w:t xml:space="preserve"> </w:t>
      </w:r>
      <w:r>
        <w:t xml:space="preserve">IB &amp; debt placement fees were a</w:t>
      </w:r>
      <w:r>
        <w:t xml:space="preserve"> </w:t>
      </w:r>
      <w:r>
        <w:rPr>
          <w:b/>
          <w:bCs/>
        </w:rPr>
        <w:t xml:space="preserve">record $197M in Q1</w:t>
      </w:r>
      <w:r>
        <w:t xml:space="preserve">, but management explicitly guided Q2 **down to</w:t>
      </w:r>
      <w:r>
        <w:t xml:space="preserve"> </w:t>
      </w:r>
      <m:oMath>
        <m:r>
          <m:t>175</m:t>
        </m:r>
        <m:r>
          <m:rPr>
            <m:sty m:val="p"/>
          </m:rPr>
          <m:t>–</m:t>
        </m:r>
        <m:r>
          <m:t>180</m:t>
        </m:r>
        <m:r>
          <m:t>M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o</m:t>
        </m:r>
        <m:r>
          <m:t>n</m:t>
        </m:r>
        <m:r>
          <m:t>m</m:t>
        </m:r>
        <m:r>
          <m:t>a</m:t>
        </m:r>
        <m:r>
          <m:t>c</m:t>
        </m:r>
        <m:r>
          <m:t>r</m:t>
        </m:r>
        <m:r>
          <m:t>o</m:t>
        </m:r>
        <m:r>
          <m:rPr>
            <m:sty m:val="p"/>
          </m:rPr>
          <m:t>/</m:t>
        </m:r>
        <m:r>
          <m:t>g</m:t>
        </m:r>
        <m:r>
          <m:t>e</m:t>
        </m:r>
        <m:r>
          <m:t>o</m:t>
        </m:r>
        <m:r>
          <m:t>p</m:t>
        </m:r>
        <m:r>
          <m:t>o</m:t>
        </m:r>
        <m:r>
          <m:t>l</m:t>
        </m:r>
        <m:r>
          <m:t>i</m:t>
        </m:r>
        <m:r>
          <m:t>t</m:t>
        </m:r>
        <m:r>
          <m:t>i</m:t>
        </m:r>
        <m:r>
          <m:t>c</m:t>
        </m:r>
        <m:r>
          <m:t>a</m:t>
        </m:r>
        <m:r>
          <m:t>l</m:t>
        </m:r>
        <m:r>
          <m:t>u</m:t>
        </m:r>
        <m:r>
          <m:t>n</m:t>
        </m:r>
        <m:r>
          <m:t>c</m:t>
        </m:r>
        <m:r>
          <m:t>e</m:t>
        </m:r>
        <m:r>
          <m:t>r</m:t>
        </m:r>
        <m:r>
          <m:t>t</m:t>
        </m:r>
        <m:r>
          <m:t>a</m:t>
        </m:r>
        <m:r>
          <m:t>i</m:t>
        </m:r>
        <m:r>
          <m:t>n</m:t>
        </m:r>
        <m:r>
          <m:t>t</m:t>
        </m:r>
        <m:r>
          <m:t>y</m:t>
        </m:r>
        <m:r>
          <m:rPr>
            <m:sty m:val="p"/>
          </m:rPr>
          <m:t>(</m:t>
        </m:r>
        <m:r>
          <m:t>S</m:t>
        </m:r>
        <m:r>
          <m:t>t</m:t>
        </m:r>
        <m:r>
          <m:t>r</m:t>
        </m:r>
        <m:r>
          <m:t>e</m:t>
        </m:r>
        <m:r>
          <m:t>e</m:t>
        </m:r>
        <m:r>
          <m:t>t</m:t>
        </m:r>
        <m:r>
          <m:t>s</m:t>
        </m:r>
        <m:r>
          <m:t>i</m:t>
        </m:r>
        <m:r>
          <m:t>t</m:t>
        </m:r>
        <m:r>
          <m:t>s</m:t>
        </m:r>
        <m:r>
          <m:t>s</m:t>
        </m:r>
        <m:r>
          <m:t>l</m:t>
        </m:r>
        <m:r>
          <m:t>i</m:t>
        </m:r>
        <m:r>
          <m:t>g</m:t>
        </m:r>
        <m:r>
          <m:t>h</m:t>
        </m:r>
        <m:r>
          <m:t>t</m:t>
        </m:r>
        <m:r>
          <m:t>l</m:t>
        </m:r>
        <m:r>
          <m:t>y</m:t>
        </m:r>
        <m:r>
          <m:t>a</m:t>
        </m:r>
        <m:r>
          <m:t>b</m:t>
        </m:r>
        <m:r>
          <m:t>o</m:t>
        </m:r>
        <m:r>
          <m:t>v</m:t>
        </m:r>
        <m:r>
          <m:t>e</m:t>
        </m:r>
        <m:r>
          <m:rPr>
            <m:sty m:val="p"/>
          </m:rPr>
          <m:t>,</m:t>
        </m:r>
        <m:r>
          <m:t> </m:t>
        </m:r>
      </m:oMath>
      <w:r>
        <w:t xml:space="preserve">181M). They reiterated confidence in</w:t>
      </w:r>
      <w:r>
        <w:t xml:space="preserve"> </w:t>
      </w:r>
      <w:r>
        <w:rPr>
          <w:b/>
          <w:bCs/>
        </w:rPr>
        <w:t xml:space="preserve">mid-single-digit full-year IB growth</w:t>
      </w:r>
      <w:r>
        <w:t xml:space="preserve"> </w:t>
      </w:r>
      <w:r>
        <w:t xml:space="preserve">off 2024's ~$780M record. The key debate (voiced by Mike Mayo and others): middle-market M&amp;A — historically Key's sweet spot — still hasn't fully returned, while the headline deal activity has been skewed to large stock-for-stock G-SIB deals. Any commentary on middle-market pipeline conversion is the most important qualitative item on the call.</w:t>
      </w:r>
    </w:p>
    <w:p>
      <w:pPr>
        <w:pStyle w:val="BodyText"/>
      </w:pPr>
      <w:r>
        <w:rPr>
          <w:b/>
          <w:bCs/>
        </w:rPr>
        <w:t xml:space="preserve">4. Fee-based franchise momentum.</w:t>
      </w:r>
      <w:r>
        <w:t xml:space="preserve"> </w:t>
      </w:r>
      <w:r>
        <w:t xml:space="preserve">Priority fee businesses — wealth, payments, and IB — collectively grew 12% y/y in Q1. Watch trust/investment services (AUM was ~$70B), commercial payments (fee-equivalent revenue growing double digits), and the mass-affluent wealth build (57,000 households,</w:t>
      </w:r>
      <w:r>
        <w:t xml:space="preserve"> </w:t>
      </w:r>
      <m:oMath>
        <m:r>
          <m:t>7.4</m:t>
        </m:r>
        <m:r>
          <m:t>B</m:t>
        </m:r>
        <m:r>
          <m:t>a</m:t>
        </m:r>
        <m:r>
          <m:t>s</m:t>
        </m:r>
        <m:r>
          <m:t>s</m:t>
        </m:r>
        <m:r>
          <m:t>e</m:t>
        </m:r>
        <m:r>
          <m:t>t</m:t>
        </m:r>
        <m:r>
          <m:t>s</m:t>
        </m:r>
        <m:r>
          <m:rPr>
            <m:sty m:val="p"/>
          </m:rPr>
          <m:t>,</m:t>
        </m:r>
        <m:r>
          <m:rPr>
            <m:sty m:val="p"/>
          </m:rPr>
          <m:t>&lt;</m:t>
        </m:r>
        <m:r>
          <m:t>10</m:t>
        </m:r>
      </m:oMath>
      <w:r>
        <w:t xml:space="preserve">50–60M/quarter (below year-ago levels) as CRE recovers and clients pay via deposits vs. hard fees.</w:t>
      </w:r>
    </w:p>
    <w:p>
      <w:pPr>
        <w:pStyle w:val="BodyText"/>
      </w:pPr>
      <w:r>
        <w:rPr>
          <w:b/>
          <w:bCs/>
        </w:rPr>
        <w:t xml:space="preserve">5. Credit quality — solid, but watch the reserve narrative.</w:t>
      </w:r>
      <w:r>
        <w:t xml:space="preserve"> </w:t>
      </w:r>
      <w:r>
        <w:t xml:space="preserve">Q1 net charge-offs were a benign 38 bps; NPAs ticked up to 63 bps on two idiosyncratic credits (utilities, multifamily). Key has been</w:t>
      </w:r>
      <w:r>
        <w:t xml:space="preserve"> </w:t>
      </w:r>
      <w:r>
        <w:rPr>
          <w:i/>
          <w:iCs/>
        </w:rPr>
        <w:t xml:space="preserve">building qualitative reserves</w:t>
      </w:r>
      <w:r>
        <w:t xml:space="preserve"> </w:t>
      </w:r>
      <w:r>
        <w:t xml:space="preserve">against a wider range of macro outcomes (ACL 1.60% of loans). For Q2, watch: (a) whether NPAs stabilize, (b) the size/direction of the reserve build, and (c) any updated color on watch areas management named — oil &amp; gas, transportation, agriculture, and leveraged lending (~$2B, small). Prior year Q2 saw a heavier $138M provision, so the y/y provision comparison could actually be favorable.</w:t>
      </w:r>
    </w:p>
    <w:p>
      <w:pPr>
        <w:pStyle w:val="BodyText"/>
      </w:pPr>
      <w:r>
        <w:rPr>
          <w:b/>
          <w:bCs/>
        </w:rPr>
        <w:t xml:space="preserve">6. Private credit / NDFI disclosure.</w:t>
      </w:r>
      <w:r>
        <w:t xml:space="preserve"> </w:t>
      </w:r>
      <w:r>
        <w:t xml:space="preserve">Key expanded its disclosure in Q1: ~$10.9B private credit outstandings (~70% through specialty finance lending, 98% investment-grade), and an NDFI book they characterize as ~90% investment-grade across four relationship-based businesses. With the sector under scrutiny industry-wide, expect analysts to probe again — and note Gorman's view that private-credit</w:t>
      </w:r>
      <w:r>
        <w:t xml:space="preserve"> </w:t>
      </w:r>
      <w:r>
        <w:rPr>
          <w:i/>
          <w:iCs/>
        </w:rPr>
        <w:t xml:space="preserve">redemptions</w:t>
      </w:r>
      <w:r>
        <w:t xml:space="preserve"> </w:t>
      </w:r>
      <w:r>
        <w:t xml:space="preserve">(not credit losses) could create re-intermediation opportunities for banks.</w:t>
      </w:r>
    </w:p>
    <w:p>
      <w:pPr>
        <w:pStyle w:val="BodyText"/>
      </w:pPr>
      <w:r>
        <w:rPr>
          <w:b/>
          <w:bCs/>
        </w:rPr>
        <w:t xml:space="preserve">7. Capital &amp; buyback — the shareholder-return story.</w:t>
      </w:r>
      <w:r>
        <w:t xml:space="preserve"> </w:t>
      </w:r>
      <w:r>
        <w:t xml:space="preserve">CET1 was 11.4% (marked CET1 ~10%) at Q1. Management raised the 2026 buyback plan to **≥</w:t>
      </w:r>
      <m:oMath>
        <m:r>
          <m:t>1.3</m:t>
        </m:r>
        <m:r>
          <m:t>B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(</m:t>
        </m:r>
        <m:r>
          <m:rPr>
            <m:sty m:val="p"/>
          </m:rPr>
          <m:t>≥</m:t>
        </m:r>
      </m:oMath>
      <w:r>
        <w:t xml:space="preserve">300M/quarter; $389M repurchased in Q1), and framed $1.3B as more of a floor. The wildcard is the revised</w:t>
      </w:r>
      <w:r>
        <w:t xml:space="preserve"> </w:t>
      </w:r>
      <w:r>
        <w:rPr>
          <w:b/>
          <w:bCs/>
        </w:rPr>
        <w:t xml:space="preserve">Basel III Endgame</w:t>
      </w:r>
      <w:r>
        <w:t xml:space="preserve"> </w:t>
      </w:r>
      <w:r>
        <w:t xml:space="preserve">proposal, which Key estimates would lift marked CET1 by</w:t>
      </w:r>
      <w:r>
        <w:t xml:space="preserve"> </w:t>
      </w:r>
      <w:r>
        <w:rPr>
          <w:b/>
          <w:bCs/>
        </w:rPr>
        <w:t xml:space="preserve">100+ bps</w:t>
      </w:r>
      <w:r>
        <w:t xml:space="preserve"> </w:t>
      </w:r>
      <w:r>
        <w:t xml:space="preserve">(RWAs down ~9%) — meaningful excess capacity that could accelerate returns. Any update on rule finalization or a higher buyback pace would be a catalyst.</w:t>
      </w:r>
    </w:p>
    <w:bookmarkEnd w:id="11"/>
    <w:bookmarkStart w:id="12" w:name="stock-setup"/>
    <w:p>
      <w:pPr>
        <w:pStyle w:val="Heading2"/>
      </w:pPr>
      <w:r>
        <w:t xml:space="preserve">Stock Setup</w:t>
      </w:r>
    </w:p>
    <w:p>
      <w:pPr>
        <w:pStyle w:val="FirstParagraph"/>
      </w:pPr>
      <w:r>
        <w:t xml:space="preserve">KEY closed around **</w:t>
      </w:r>
      <m:oMath>
        <m:r>
          <m:t>23.33</m:t>
        </m:r>
        <m:r>
          <m:t>o</m:t>
        </m:r>
        <m:r>
          <m:t>n</m:t>
        </m:r>
        <m:r>
          <m:t>J</m:t>
        </m:r>
        <m:r>
          <m:t>u</m:t>
        </m:r>
        <m:r>
          <m:t>l</m:t>
        </m:r>
        <m:r>
          <m:t>y</m:t>
        </m:r>
        <m:r>
          <m:t>20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,</m:t>
        </m:r>
        <m:r>
          <m:t>u</m:t>
        </m:r>
        <m:r>
          <m:t>p</m:t>
        </m:r>
        <m:r>
          <m:t>r</m:t>
        </m:r>
        <m:r>
          <m:t>o</m:t>
        </m:r>
        <m:r>
          <m:t>u</m:t>
        </m:r>
        <m:r>
          <m:t>g</m:t>
        </m:r>
        <m:r>
          <m:t>h</m:t>
        </m:r>
        <m:r>
          <m:t>l</m:t>
        </m:r>
        <m:r>
          <m:t>y</m:t>
        </m:r>
        <m:r>
          <m:t>11</m:t>
        </m:r>
      </m:oMath>
      <w:r>
        <w:t xml:space="preserve">18.90) — and well above the ~$16 level a year ago. The stock has re-rated as the margin/PPNR story played out (Q1 marked the 8th consecutive quarter of adjusted PPNR growth). That leaves less margin for error: with expectations now embedded and IB guided down sequentially, the burden of proof shifts to (a) reaffirmed or raised full-year guidance and (b) evidence that loan growth and the fee pipeline are converting.</w:t>
      </w:r>
    </w:p>
    <w:bookmarkEnd w:id="12"/>
    <w:bookmarkStart w:id="13" w:name="bull-vs-bear-into-the-print"/>
    <w:p>
      <w:pPr>
        <w:pStyle w:val="Heading2"/>
      </w:pPr>
      <w:r>
        <w:t xml:space="preserve">Bull vs. Bear Into the Print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Bull case:</w:t>
      </w:r>
      <w:r>
        <w:t xml:space="preserve"> </w:t>
      </w:r>
      <w:r>
        <w:t xml:space="preserve">NIM continues toward 3.05%, deposits trough and rebuild on schedule, commercial loan pipeline converts, and management again nudges up NII/loan guidance while flagging Basel-driven capital-return upside. ROTCE tracking toward the 15%+ 2027 goal.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Bear case:</w:t>
      </w:r>
      <w:r>
        <w:t xml:space="preserve"> </w:t>
      </w:r>
      <w:r>
        <w:t xml:space="preserve">Middle-market M&amp;A stays sluggish (IB fees soft), the estimate drift lower proves warranted, NPAs creep higher, and a fully-valued stock sells off on "good but priced-in" results.</w:t>
      </w:r>
    </w:p>
    <w:bookmarkEnd w:id="13"/>
    <w:bookmarkStart w:id="14" w:name="key-questions-for-the-call"/>
    <w:p>
      <w:pPr>
        <w:pStyle w:val="Heading2"/>
      </w:pPr>
      <w:r>
        <w:t xml:space="preserve">Key Questions for the Call</w:t>
      </w:r>
    </w:p>
    <w:p>
      <w:pPr>
        <w:pStyle w:val="Compact"/>
        <w:numPr>
          <w:ilvl w:val="0"/>
          <w:numId w:val="1002"/>
        </w:numPr>
      </w:pPr>
      <w:r>
        <w:t xml:space="preserve">Did full-year NII/NIM and loan guidance get reaffirmed or raised again?</w:t>
      </w:r>
    </w:p>
    <w:p>
      <w:pPr>
        <w:pStyle w:val="Compact"/>
        <w:numPr>
          <w:ilvl w:val="0"/>
          <w:numId w:val="1002"/>
        </w:numPr>
      </w:pPr>
      <w:r>
        <w:t xml:space="preserve">Where are period-end (June 30) deposits vs. the "trough in May" plan?</w:t>
      </w:r>
    </w:p>
    <w:p>
      <w:pPr>
        <w:pStyle w:val="Compact"/>
        <w:numPr>
          <w:ilvl w:val="0"/>
          <w:numId w:val="1002"/>
        </w:numPr>
      </w:pPr>
      <w:r>
        <w:t xml:space="preserve">Middle-market M&amp;A: is the pipeline finally converting, or slipping to 2027?</w:t>
      </w:r>
    </w:p>
    <w:p>
      <w:pPr>
        <w:pStyle w:val="Compact"/>
        <w:numPr>
          <w:ilvl w:val="0"/>
          <w:numId w:val="1002"/>
        </w:numPr>
      </w:pPr>
      <w:r>
        <w:t xml:space="preserve">Any change to the "no cuts in 2026" base case, and margin sensitivity if the Fed moves?</w:t>
      </w:r>
    </w:p>
    <w:p>
      <w:pPr>
        <w:pStyle w:val="Compact"/>
        <w:numPr>
          <w:ilvl w:val="0"/>
          <w:numId w:val="1002"/>
        </w:numPr>
      </w:pPr>
      <w:r>
        <w:t xml:space="preserve">Buyback pace — is $1.3B still the floor, and any read on Basel III Endgame timing/benefit?</w:t>
      </w:r>
    </w:p>
    <w:p>
      <w:pPr>
        <w:pStyle w:val="Compact"/>
        <w:numPr>
          <w:ilvl w:val="0"/>
          <w:numId w:val="1002"/>
        </w:numPr>
      </w:pPr>
      <w:r>
        <w:t xml:space="preserve">Reserve build direction and any change in watch-list credits (transportation, oil &amp; gas, CRE).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i/>
          <w:iCs/>
        </w:rPr>
        <w:t xml:space="preserve">Preview based on KeyCorp's Q1 2026 earnings materials/call, Q2 2025 results for year-ago comparison, recent share-price data, and publicly reported Street estimates. All forward figures reflect management guidance as of the April 16, 2026 call and consensus as of mid-July 2026.</w:t>
      </w:r>
    </w:p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2026-07-21T00:38:01Z</dcterms:created>
  <dcterms:modified xsi:type="dcterms:W3CDTF">2026-07-21T00:38:01Z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