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b228343164de88bf3046c0190a29d2ca4ef61e"/>
    <w:p>
      <w:pPr>
        <w:pStyle w:val="Heading1"/>
      </w:pPr>
      <w:r>
        <w:t xml:space="preserve">KeyCorp (NYSE: KEY) — Q2 2026 Earnings Preview</w:t>
      </w:r>
    </w:p>
    <w:p>
      <w:pPr>
        <w:pStyle w:val="BlockText"/>
      </w:pPr>
      <w:r>
        <w:rPr>
          <w:b/>
          <w:bCs/>
        </w:rPr>
        <w:t xml:space="preserve">Date clarification:</w:t>
      </w:r>
      <w:r>
        <w:t xml:space="preserve"> </w:t>
      </w:r>
      <w:r>
        <w:t xml:space="preserve">KeyCorp is scheduled to release results</w:t>
      </w:r>
      <w:r>
        <w:t xml:space="preserve"> </w:t>
      </w:r>
      <w:r>
        <w:rPr>
          <w:b/>
          <w:bCs/>
        </w:rPr>
        <w:t xml:space="preserve">before the market opens today, Tuesday, July 21, 2026</w:t>
      </w:r>
      <w:r>
        <w:t xml:space="preserve">, followed by its earnings call at</w:t>
      </w:r>
      <w:r>
        <w:t xml:space="preserve"> </w:t>
      </w:r>
      <w:r>
        <w:rPr>
          <w:b/>
          <w:bCs/>
        </w:rPr>
        <w:t xml:space="preserve">9:00 a.m. ET</w:t>
      </w:r>
      <w:r>
        <w:t xml:space="preserve">—not tomorrow. (</w:t>
      </w:r>
      <w:hyperlink r:id="rId9">
        <w:r>
          <w:rPr>
            <w:rStyle w:val="Hyperlink"/>
          </w:rPr>
          <w:t xml:space="preserve">investor.key.com</w:t>
        </w:r>
      </w:hyperlink>
      <w:r>
        <w:t xml:space="preserve">)</w:t>
      </w:r>
    </w:p>
    <w:bookmarkStart w:id="11" w:name="executive-view"/>
    <w:p>
      <w:pPr>
        <w:pStyle w:val="Heading2"/>
      </w:pPr>
      <w:r>
        <w:t xml:space="preserve">Executive view</w:t>
      </w:r>
    </w:p>
    <w:p>
      <w:pPr>
        <w:pStyle w:val="FirstParagraph"/>
      </w:pPr>
      <w:r>
        <w:t xml:space="preserve">Key enters the quarter with solid operating momentum: expanding net interest income, healthy commercial loan growth, improving returns and substantial excess capital. The central question is no longer whether earnings are recovering, but whether Key can sustain that recovery while funding stronger loan growth, absorbing higher expenses and maintaining benign credit quality.</w:t>
      </w:r>
    </w:p>
    <w:p>
      <w:pPr>
        <w:pStyle w:val="BodyText"/>
      </w:pPr>
      <w:r>
        <w:t xml:space="preserve">The published consensus is approximately</w:t>
      </w:r>
      <w:r>
        <w:t xml:space="preserve"> </w:t>
      </w:r>
      <w:r>
        <w:rPr>
          <w:b/>
          <w:bCs/>
        </w:rPr>
        <w:t xml:space="preserve">$0.42 of EPS and $1.97 billion of revenue</w:t>
      </w:r>
      <w:r>
        <w:t xml:space="preserve">. That compares with Q1 EPS of $0.44 and revenue of $1.95 billion. (</w:t>
      </w:r>
      <w:hyperlink r:id="rId10">
        <w:r>
          <w:rPr>
            <w:rStyle w:val="Hyperlink"/>
          </w:rPr>
          <w:t xml:space="preserve">benzinga.com</w:t>
        </w:r>
      </w:hyperlink>
      <w:r>
        <w:t xml:space="preserve">)</w:t>
      </w:r>
    </w:p>
    <w:p>
      <w:pPr>
        <w:pStyle w:val="BodyText"/>
      </w:pPr>
      <w:r>
        <w:t xml:space="preserve">A simple headline beat may not be enough. Investors will likely focus more heavily on:</w:t>
      </w:r>
    </w:p>
    <w:p>
      <w:pPr>
        <w:pStyle w:val="Compact"/>
        <w:numPr>
          <w:ilvl w:val="0"/>
          <w:numId w:val="1001"/>
        </w:numPr>
      </w:pPr>
      <w:r>
        <w:t xml:space="preserve">The path toward a</w:t>
      </w:r>
      <w:r>
        <w:t xml:space="preserve"> </w:t>
      </w:r>
      <w:r>
        <w:rPr>
          <w:b/>
          <w:bCs/>
        </w:rPr>
        <w:t xml:space="preserve">3.05% fourth-quarter net interest margin</w:t>
      </w:r>
    </w:p>
    <w:p>
      <w:pPr>
        <w:pStyle w:val="Compact"/>
        <w:numPr>
          <w:ilvl w:val="0"/>
          <w:numId w:val="1001"/>
        </w:numPr>
      </w:pPr>
      <w:r>
        <w:t xml:space="preserve">Whether commercial loan growth remains broad-based</w:t>
      </w:r>
    </w:p>
    <w:p>
      <w:pPr>
        <w:pStyle w:val="Compact"/>
        <w:numPr>
          <w:ilvl w:val="0"/>
          <w:numId w:val="1001"/>
        </w:numPr>
      </w:pPr>
      <w:r>
        <w:t xml:space="preserve">Deposit costs in a potentially higher-for-longer rate environment</w:t>
      </w:r>
    </w:p>
    <w:p>
      <w:pPr>
        <w:pStyle w:val="Compact"/>
        <w:numPr>
          <w:ilvl w:val="0"/>
          <w:numId w:val="1001"/>
        </w:numPr>
      </w:pPr>
      <w:r>
        <w:t xml:space="preserve">Credit migration in transportation, agriculture and other rate-sensitive sectors</w:t>
      </w:r>
    </w:p>
    <w:p>
      <w:pPr>
        <w:pStyle w:val="Compact"/>
        <w:numPr>
          <w:ilvl w:val="0"/>
          <w:numId w:val="1001"/>
        </w:numPr>
      </w:pPr>
      <w:r>
        <w:t xml:space="preserve">The pace of capital return under the new $3 billion authorization</w:t>
      </w:r>
    </w:p>
    <w:bookmarkEnd w:id="11"/>
    <w:bookmarkStart w:id="13" w:name="key-expectations"/>
    <w:p>
      <w:pPr>
        <w:pStyle w:val="Heading2"/>
      </w:pPr>
      <w:r>
        <w:t xml:space="preserve">Key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w:t>
            </w:r>
          </w:p>
        </w:tc>
        <w:tc>
          <w:tcPr/>
          <w:p>
            <w:pPr>
              <w:pStyle w:val="Compact"/>
              <w:jc w:val="right"/>
            </w:pPr>
            <w:r>
              <w:t xml:space="preserve">Q2 setup/expectation</w:t>
            </w:r>
          </w:p>
        </w:tc>
        <w:tc>
          <w:tcPr/>
          <w:p>
            <w:pPr>
              <w:pStyle w:val="Compact"/>
            </w:pPr>
            <w:r>
              <w:t xml:space="preserve">What matters</w:t>
            </w:r>
          </w:p>
        </w:tc>
      </w:tr>
      <w:tr>
        <w:tc>
          <w:tcPr/>
          <w:p>
            <w:pPr>
              <w:pStyle w:val="Compact"/>
            </w:pPr>
            <w:r>
              <w:t xml:space="preserve">Diluted EPS</w:t>
            </w:r>
          </w:p>
        </w:tc>
        <w:tc>
          <w:tcPr/>
          <w:p>
            <w:pPr>
              <w:pStyle w:val="Compact"/>
              <w:jc w:val="right"/>
            </w:pPr>
            <w:r>
              <w:t xml:space="preserve">$0.44</w:t>
            </w:r>
          </w:p>
        </w:tc>
        <w:tc>
          <w:tcPr/>
          <w:p>
            <w:pPr>
              <w:pStyle w:val="Compact"/>
              <w:jc w:val="right"/>
            </w:pPr>
            <w:r>
              <w:t xml:space="preserve">Consensus:</w:t>
            </w:r>
            <w:r>
              <w:t xml:space="preserve"> </w:t>
            </w:r>
            <w:r>
              <w:rPr>
                <w:b/>
                <w:bCs/>
              </w:rPr>
              <w:t xml:space="preserve">~$0.42</w:t>
            </w:r>
          </w:p>
        </w:tc>
        <w:tc>
          <w:tcPr/>
          <w:p>
            <w:pPr>
              <w:pStyle w:val="Compact"/>
            </w:pPr>
            <w:r>
              <w:t xml:space="preserve">Quality of the result and forward guidance</w:t>
            </w:r>
          </w:p>
        </w:tc>
      </w:tr>
      <w:tr>
        <w:tc>
          <w:tcPr/>
          <w:p>
            <w:pPr>
              <w:pStyle w:val="Compact"/>
            </w:pPr>
            <w:r>
              <w:t xml:space="preserve">Revenue, TE basis</w:t>
            </w:r>
          </w:p>
        </w:tc>
        <w:tc>
          <w:tcPr/>
          <w:p>
            <w:pPr>
              <w:pStyle w:val="Compact"/>
              <w:jc w:val="right"/>
            </w:pPr>
            <w:r>
              <w:t xml:space="preserve">$1.95B</w:t>
            </w:r>
          </w:p>
        </w:tc>
        <w:tc>
          <w:tcPr/>
          <w:p>
            <w:pPr>
              <w:pStyle w:val="Compact"/>
              <w:jc w:val="right"/>
            </w:pPr>
            <w:r>
              <w:rPr>
                <w:b/>
                <w:bCs/>
              </w:rPr>
              <w:t xml:space="preserve">~$1.97B</w:t>
            </w:r>
          </w:p>
        </w:tc>
        <w:tc>
          <w:tcPr/>
          <w:p>
            <w:pPr>
              <w:pStyle w:val="Compact"/>
            </w:pPr>
            <w:r>
              <w:t xml:space="preserve">NII growth should offset lower investment-banking fees</w:t>
            </w:r>
          </w:p>
        </w:tc>
      </w:tr>
      <w:tr>
        <w:tc>
          <w:tcPr/>
          <w:p>
            <w:pPr>
              <w:pStyle w:val="Compact"/>
            </w:pPr>
            <w:r>
              <w:t xml:space="preserve">Net interest income, TE</w:t>
            </w:r>
          </w:p>
        </w:tc>
        <w:tc>
          <w:tcPr/>
          <w:p>
            <w:pPr>
              <w:pStyle w:val="Compact"/>
              <w:jc w:val="right"/>
            </w:pPr>
            <w:r>
              <w:t xml:space="preserve">$1.23B</w:t>
            </w:r>
          </w:p>
        </w:tc>
        <w:tc>
          <w:tcPr/>
          <w:p>
            <w:pPr>
              <w:pStyle w:val="Compact"/>
              <w:jc w:val="right"/>
            </w:pPr>
            <w:r>
              <w:rPr>
                <w:b/>
                <w:bCs/>
              </w:rPr>
              <w:t xml:space="preserve">~$1.27B</w:t>
            </w:r>
          </w:p>
        </w:tc>
        <w:tc>
          <w:tcPr/>
          <w:p>
            <w:pPr>
              <w:pStyle w:val="Compact"/>
            </w:pPr>
            <w:r>
              <w:t xml:space="preserve">Management indicated roughly 3% sequential growth</w:t>
            </w:r>
          </w:p>
        </w:tc>
      </w:tr>
      <w:tr>
        <w:tc>
          <w:tcPr/>
          <w:p>
            <w:pPr>
              <w:pStyle w:val="Compact"/>
            </w:pPr>
            <w:r>
              <w:t xml:space="preserve">Net interest margin</w:t>
            </w:r>
          </w:p>
        </w:tc>
        <w:tc>
          <w:tcPr/>
          <w:p>
            <w:pPr>
              <w:pStyle w:val="Compact"/>
              <w:jc w:val="right"/>
            </w:pPr>
            <w:r>
              <w:t xml:space="preserve">2.87%</w:t>
            </w:r>
          </w:p>
        </w:tc>
        <w:tc>
          <w:tcPr/>
          <w:p>
            <w:pPr>
              <w:pStyle w:val="Compact"/>
              <w:jc w:val="right"/>
            </w:pPr>
            <w:r>
              <w:rPr>
                <w:b/>
                <w:bCs/>
              </w:rPr>
              <w:t xml:space="preserve">Low 2.90s; ~2.92% anchor</w:t>
            </w:r>
          </w:p>
        </w:tc>
        <w:tc>
          <w:tcPr/>
          <w:p>
            <w:pPr>
              <w:pStyle w:val="Compact"/>
            </w:pPr>
            <w:r>
              <w:t xml:space="preserve">Progress toward 3.05% by Q4</w:t>
            </w:r>
          </w:p>
        </w:tc>
      </w:tr>
      <w:tr>
        <w:tc>
          <w:tcPr/>
          <w:p>
            <w:pPr>
              <w:pStyle w:val="Compact"/>
            </w:pPr>
            <w:r>
              <w:t xml:space="preserve">Investment banking/debt placement</w:t>
            </w:r>
          </w:p>
        </w:tc>
        <w:tc>
          <w:tcPr/>
          <w:p>
            <w:pPr>
              <w:pStyle w:val="Compact"/>
              <w:jc w:val="right"/>
            </w:pPr>
            <w:r>
              <w:t xml:space="preserve">$197M</w:t>
            </w:r>
          </w:p>
        </w:tc>
        <w:tc>
          <w:tcPr/>
          <w:p>
            <w:pPr>
              <w:pStyle w:val="Compact"/>
              <w:jc w:val="right"/>
            </w:pPr>
            <m:oMath>
              <m:r>
                <m:t>175</m:t>
              </m:r>
              <m:r>
                <m:t>M</m:t>
              </m:r>
              <m:r>
                <m:rPr>
                  <m:sty m:val="p"/>
                </m:rPr>
                <m:t>–</m:t>
              </m:r>
            </m:oMath>
            <w:r>
              <w:rPr>
                <w:b/>
                <w:bCs/>
              </w:rPr>
              <w:t xml:space="preserve">180M</w:t>
            </w:r>
          </w:p>
        </w:tc>
        <w:tc>
          <w:tcPr/>
          <w:p>
            <w:pPr>
              <w:pStyle w:val="Compact"/>
            </w:pPr>
            <w:r>
              <w:t xml:space="preserve">Pipeline conversion and middle-market M&amp;A commentary</w:t>
            </w:r>
          </w:p>
        </w:tc>
      </w:tr>
      <w:tr>
        <w:tc>
          <w:tcPr/>
          <w:p>
            <w:pPr>
              <w:pStyle w:val="Compact"/>
            </w:pPr>
            <w:r>
              <w:t xml:space="preserve">Noninterest expense</w:t>
            </w:r>
          </w:p>
        </w:tc>
        <w:tc>
          <w:tcPr/>
          <w:p>
            <w:pPr>
              <w:pStyle w:val="Compact"/>
              <w:jc w:val="right"/>
            </w:pPr>
            <w:r>
              <w:t xml:space="preserve">$1.181B</w:t>
            </w:r>
          </w:p>
        </w:tc>
        <w:tc>
          <w:tcPr/>
          <w:p>
            <w:pPr>
              <w:pStyle w:val="Compact"/>
              <w:jc w:val="right"/>
            </w:pPr>
            <m:oMath>
              <m:r>
                <m:t>1.222</m:t>
              </m:r>
              <m:r>
                <m:t>B</m:t>
              </m:r>
              <m:r>
                <m:rPr>
                  <m:sty m:val="p"/>
                </m:rPr>
                <m:t>–</m:t>
              </m:r>
            </m:oMath>
            <w:r>
              <w:rPr>
                <w:b/>
                <w:bCs/>
              </w:rPr>
              <w:t xml:space="preserve">1.228B</w:t>
            </w:r>
          </w:p>
        </w:tc>
        <w:tc>
          <w:tcPr/>
          <w:p>
            <w:pPr>
              <w:pStyle w:val="Compact"/>
            </w:pPr>
            <w:r>
              <w:t xml:space="preserve">Management indicated 3.5%–4% sequential growth</w:t>
            </w:r>
          </w:p>
        </w:tc>
      </w:tr>
      <w:tr>
        <w:tc>
          <w:tcPr/>
          <w:p>
            <w:pPr>
              <w:pStyle w:val="Compact"/>
            </w:pPr>
            <w:r>
              <w:t xml:space="preserve">Net charge-offs</w:t>
            </w:r>
          </w:p>
        </w:tc>
        <w:tc>
          <w:tcPr/>
          <w:p>
            <w:pPr>
              <w:pStyle w:val="Compact"/>
              <w:jc w:val="right"/>
            </w:pPr>
            <w:r>
              <w:t xml:space="preserve">38 bps</w:t>
            </w:r>
          </w:p>
        </w:tc>
        <w:tc>
          <w:tcPr/>
          <w:p>
            <w:pPr>
              <w:pStyle w:val="Compact"/>
              <w:jc w:val="right"/>
            </w:pPr>
            <w:r>
              <w:rPr>
                <w:b/>
                <w:bCs/>
              </w:rPr>
              <w:t xml:space="preserve">Around 40 bps</w:t>
            </w:r>
          </w:p>
        </w:tc>
        <w:tc>
          <w:tcPr/>
          <w:p>
            <w:pPr>
              <w:pStyle w:val="Compact"/>
            </w:pPr>
            <w:r>
              <w:t xml:space="preserve">Whether weaker credits remain isolated</w:t>
            </w:r>
          </w:p>
        </w:tc>
      </w:tr>
      <w:tr>
        <w:tc>
          <w:tcPr/>
          <w:p>
            <w:pPr>
              <w:pStyle w:val="Compact"/>
            </w:pPr>
            <w:r>
              <w:t xml:space="preserve">Period-end loans</w:t>
            </w:r>
          </w:p>
        </w:tc>
        <w:tc>
          <w:tcPr/>
          <w:p>
            <w:pPr>
              <w:pStyle w:val="Compact"/>
              <w:jc w:val="right"/>
            </w:pPr>
            <w:r>
              <w:t xml:space="preserve">$109.2B</w:t>
            </w:r>
          </w:p>
        </w:tc>
        <w:tc>
          <w:tcPr/>
          <w:p>
            <w:pPr>
              <w:pStyle w:val="Compact"/>
              <w:jc w:val="right"/>
            </w:pPr>
            <w:r>
              <w:t xml:space="preserve">Sequential growth expected</w:t>
            </w:r>
          </w:p>
        </w:tc>
        <w:tc>
          <w:tcPr/>
          <w:p>
            <w:pPr>
              <w:pStyle w:val="Compact"/>
            </w:pPr>
            <w:r>
              <w:t xml:space="preserve">Mix, pricing and relationship economics</w:t>
            </w:r>
          </w:p>
        </w:tc>
      </w:tr>
      <w:tr>
        <w:tc>
          <w:tcPr/>
          <w:p>
            <w:pPr>
              <w:pStyle w:val="Compact"/>
            </w:pPr>
            <w:r>
              <w:t xml:space="preserve">Share repurchases</w:t>
            </w:r>
          </w:p>
        </w:tc>
        <w:tc>
          <w:tcPr/>
          <w:p>
            <w:pPr>
              <w:pStyle w:val="Compact"/>
              <w:jc w:val="right"/>
            </w:pPr>
            <w:r>
              <w:t xml:space="preserve">$389M</w:t>
            </w:r>
          </w:p>
        </w:tc>
        <w:tc>
          <w:tcPr/>
          <w:p>
            <w:pPr>
              <w:pStyle w:val="Compact"/>
              <w:jc w:val="right"/>
            </w:pPr>
            <w:r>
              <w:t xml:space="preserve">At least</w:t>
            </w:r>
            <w:r>
              <w:t xml:space="preserve"> </w:t>
            </w:r>
            <w:r>
              <w:rPr>
                <w:b/>
                <w:bCs/>
              </w:rPr>
              <w:t xml:space="preserve">$300M</w:t>
            </w:r>
            <w:r>
              <w:t xml:space="preserve"> </w:t>
            </w:r>
            <w:r>
              <w:t xml:space="preserve">expected</w:t>
            </w:r>
          </w:p>
        </w:tc>
        <w:tc>
          <w:tcPr/>
          <w:p>
            <w:pPr>
              <w:pStyle w:val="Compact"/>
            </w:pPr>
            <w:r>
              <w:t xml:space="preserve">2026 target remains at least $1.3B</w:t>
            </w:r>
          </w:p>
        </w:tc>
      </w:tr>
    </w:tbl>
    <w:p>
      <w:pPr>
        <w:pStyle w:val="BodyText"/>
      </w:pPr>
      <w:r>
        <w:t xml:space="preserve">Key’s Q1 results included 11% year-over-year NII growth, a five-basis-point sequential increase in NIM, 4% sequential commercial loan growth, 38 basis points of charge-offs and a 13% return on tangible common equity. (</w:t>
      </w:r>
      <w:hyperlink r:id="rId12">
        <w:r>
          <w:rPr>
            <w:rStyle w:val="Hyperlink"/>
          </w:rPr>
          <w:t xml:space="preserve">investor.key.com</w:t>
        </w:r>
      </w:hyperlink>
      <w:r>
        <w:t xml:space="preserve">)</w:t>
      </w:r>
    </w:p>
    <w:bookmarkEnd w:id="13"/>
    <w:bookmarkStart w:id="14" w:name="X8a306e4c0edad4dbbd2fac04196703da074458a"/>
    <w:p>
      <w:pPr>
        <w:pStyle w:val="Heading2"/>
      </w:pPr>
      <w:r>
        <w:t xml:space="preserve">1. Net interest income should be the principal earnings driver</w:t>
      </w:r>
    </w:p>
    <w:p>
      <w:pPr>
        <w:pStyle w:val="FirstParagraph"/>
      </w:pPr>
      <w:r>
        <w:t xml:space="preserve">At a June 10 investor conference, CFO Clark Khayat indicated that Q2 net interest income was likely to increase approximately</w:t>
      </w:r>
      <w:r>
        <w:t xml:space="preserve"> </w:t>
      </w:r>
      <w:r>
        <w:rPr>
          <w:b/>
          <w:bCs/>
        </w:rPr>
        <w:t xml:space="preserve">3% sequentially</w:t>
      </w:r>
      <w:r>
        <w:t xml:space="preserve">. Applied to Q1’s</w:t>
      </w:r>
      <w:r>
        <w:t xml:space="preserve"> </w:t>
      </w:r>
      <m:oMath>
        <m:r>
          <m:t>1.23</m:t>
        </m:r>
        <m:r>
          <m:t>b</m:t>
        </m:r>
        <m:r>
          <m:t>i</m:t>
        </m:r>
        <m:r>
          <m:t>l</m:t>
        </m:r>
        <m:r>
          <m:t>l</m:t>
        </m:r>
        <m:r>
          <m:t>i</m:t>
        </m:r>
        <m:r>
          <m:t>o</m:t>
        </m:r>
        <m:r>
          <m:t>n</m:t>
        </m:r>
        <m:r>
          <m:rPr>
            <m:sty m:val="p"/>
          </m:rPr>
          <m:t>,</m:t>
        </m:r>
        <m:r>
          <m:t>t</m:t>
        </m:r>
        <m:r>
          <m:t>h</m:t>
        </m:r>
        <m:r>
          <m:t>a</m:t>
        </m:r>
        <m:r>
          <m:t>t</m:t>
        </m:r>
        <m:r>
          <m:t>i</m:t>
        </m:r>
        <m:r>
          <m:t>m</m:t>
        </m:r>
        <m:r>
          <m:t>p</m:t>
        </m:r>
        <m:r>
          <m:t>l</m:t>
        </m:r>
        <m:r>
          <m:t>i</m:t>
        </m:r>
        <m:r>
          <m:t>e</m:t>
        </m:r>
        <m:r>
          <m:t>s</m:t>
        </m:r>
        <m:r>
          <m:t>r</m:t>
        </m:r>
        <m:r>
          <m:t>o</m:t>
        </m:r>
        <m:r>
          <m:t>u</m:t>
        </m:r>
        <m:r>
          <m:t>g</m:t>
        </m:r>
        <m:r>
          <m:t>h</m:t>
        </m:r>
        <m:r>
          <m:t>l</m:t>
        </m:r>
        <m:r>
          <m:t>y</m:t>
        </m:r>
        <m:r>
          <m:rPr>
            <m:sty m:val="p"/>
          </m:rPr>
          <m:t>*</m:t>
        </m:r>
        <m:r>
          <m:rPr>
            <m:sty m:val="p"/>
          </m:rPr>
          <m:t>*</m:t>
        </m:r>
      </m:oMath>
      <w:r>
        <w:t xml:space="preserve">1.27 billion**.</w:t>
      </w:r>
    </w:p>
    <w:p>
      <w:pPr>
        <w:pStyle w:val="BodyText"/>
      </w:pPr>
      <w:r>
        <w:t xml:space="preserve">With average earning assets expected to remain relatively stable, that growth points to a margin in the</w:t>
      </w:r>
      <w:r>
        <w:t xml:space="preserve"> </w:t>
      </w:r>
      <w:r>
        <w:rPr>
          <w:b/>
          <w:bCs/>
        </w:rPr>
        <w:t xml:space="preserve">low 2.90% range</w:t>
      </w:r>
      <w:r>
        <w:t xml:space="preserve">, approximately 2.92% after accounting for the additional day in Q2. That would be consistent with—though not ahead of—the company’s goal of exiting 2026 at approximately 3.05%.</w:t>
      </w:r>
    </w:p>
    <w:p>
      <w:pPr>
        <w:pStyle w:val="BodyText"/>
      </w:pPr>
      <w:r>
        <w:t xml:space="preserve">The drivers should include:</w:t>
      </w:r>
    </w:p>
    <w:p>
      <w:pPr>
        <w:pStyle w:val="Compact"/>
        <w:numPr>
          <w:ilvl w:val="0"/>
          <w:numId w:val="1002"/>
        </w:numPr>
      </w:pPr>
      <w:r>
        <w:t xml:space="preserve">Continued repricing of fixed-rate swaps and securities</w:t>
      </w:r>
    </w:p>
    <w:p>
      <w:pPr>
        <w:pStyle w:val="Compact"/>
        <w:numPr>
          <w:ilvl w:val="0"/>
          <w:numId w:val="1002"/>
        </w:numPr>
      </w:pPr>
      <w:r>
        <w:t xml:space="preserve">A richer mix of commercial loans</w:t>
      </w:r>
    </w:p>
    <w:p>
      <w:pPr>
        <w:pStyle w:val="Compact"/>
        <w:numPr>
          <w:ilvl w:val="0"/>
          <w:numId w:val="1002"/>
        </w:numPr>
      </w:pPr>
      <w:r>
        <w:t xml:space="preserve">Another quarter of commercial balance growth</w:t>
      </w:r>
    </w:p>
    <w:p>
      <w:pPr>
        <w:pStyle w:val="Compact"/>
        <w:numPr>
          <w:ilvl w:val="0"/>
          <w:numId w:val="1002"/>
        </w:numPr>
      </w:pPr>
      <w:r>
        <w:t xml:space="preserve">Stable-to-lower funding costs</w:t>
      </w:r>
    </w:p>
    <w:p>
      <w:pPr>
        <w:pStyle w:val="Compact"/>
        <w:numPr>
          <w:ilvl w:val="0"/>
          <w:numId w:val="1002"/>
        </w:numPr>
      </w:pPr>
      <w:r>
        <w:t xml:space="preserve">Less drag from seasonally weak deposits</w:t>
      </w:r>
    </w:p>
    <w:p>
      <w:pPr>
        <w:pStyle w:val="FirstParagraph"/>
      </w:pPr>
      <w:r>
        <w:t xml:space="preserve">The risk is deposit pricing. Management previously described the balance sheet as slightly liability-sensitive at the short end but asset-sensitive in the three- to five-year portion of the curve. Higher intermediate yields can improve reinvestment income, but an actual Fed hike or stronger loan demand could force Key to pay more aggressively for deposits.</w:t>
      </w:r>
    </w:p>
    <w:p>
      <w:pPr>
        <w:pStyle w:val="BodyText"/>
      </w:pPr>
      <w:r>
        <w:rPr>
          <w:b/>
          <w:bCs/>
        </w:rPr>
        <w:t xml:space="preserve">Investor test:</w:t>
      </w:r>
      <w:r>
        <w:t xml:space="preserve"> </w:t>
      </w:r>
      <w:r>
        <w:t xml:space="preserve">NII around $1.27 billion and NIM near 2.92% would be satisfactory. A margin below 2.90%, absent an unusual balance-sheet shift, would raise questions about the credibility of the 3.05% year-end target.</w:t>
      </w:r>
    </w:p>
    <w:bookmarkEnd w:id="14"/>
    <w:bookmarkStart w:id="15" w:name="X7bb8d1d237296f131b48dfe40724786fc1e2ee3"/>
    <w:p>
      <w:pPr>
        <w:pStyle w:val="Heading2"/>
      </w:pPr>
      <w:r>
        <w:t xml:space="preserve">2. Commercial loan growth is the strongest potential upside lever</w:t>
      </w:r>
    </w:p>
    <w:p>
      <w:pPr>
        <w:pStyle w:val="FirstParagraph"/>
      </w:pPr>
      <w:r>
        <w:t xml:space="preserve">Key reported</w:t>
      </w:r>
      <w:r>
        <w:t xml:space="preserve"> </w:t>
      </w:r>
      <m:oMath>
        <m:r>
          <m:t>3.3</m:t>
        </m:r>
        <m:r>
          <m:t>b</m:t>
        </m:r>
        <m:r>
          <m:t>i</m:t>
        </m:r>
        <m:r>
          <m:t>l</m:t>
        </m:r>
        <m:r>
          <m:t>l</m:t>
        </m:r>
        <m:r>
          <m:t>i</m:t>
        </m:r>
        <m:r>
          <m:t>o</m:t>
        </m:r>
        <m:r>
          <m:t>n</m:t>
        </m:r>
        <m:r>
          <m:t>o</m:t>
        </m:r>
        <m:r>
          <m:t>f</m:t>
        </m:r>
        <m:r>
          <m:t>s</m:t>
        </m:r>
        <m:r>
          <m:t>e</m:t>
        </m:r>
        <m:r>
          <m:t>q</m:t>
        </m:r>
        <m:r>
          <m:t>u</m:t>
        </m:r>
        <m:r>
          <m:t>e</m:t>
        </m:r>
        <m:r>
          <m:t>n</m:t>
        </m:r>
        <m:r>
          <m:t>t</m:t>
        </m:r>
        <m:r>
          <m:t>i</m:t>
        </m:r>
        <m:r>
          <m:t>a</m:t>
        </m:r>
        <m:r>
          <m:t>l</m:t>
        </m:r>
        <m:r>
          <m:t>p</m:t>
        </m:r>
        <m:r>
          <m:t>e</m:t>
        </m:r>
        <m:r>
          <m:t>r</m:t>
        </m:r>
        <m:r>
          <m:t>i</m:t>
        </m:r>
        <m:r>
          <m:t>o</m:t>
        </m:r>
        <m:r>
          <m:t>d</m:t>
        </m:r>
        <m:r>
          <m:rPr>
            <m:sty m:val="p"/>
          </m:rPr>
          <m:t>−</m:t>
        </m:r>
        <m:r>
          <m:t>e</m:t>
        </m:r>
        <m:r>
          <m:t>n</m:t>
        </m:r>
        <m:r>
          <m:t>d</m:t>
        </m:r>
        <m:r>
          <m:t>c</m:t>
        </m:r>
        <m:r>
          <m:t>o</m:t>
        </m:r>
        <m:r>
          <m:t>m</m:t>
        </m:r>
        <m:r>
          <m:t>m</m:t>
        </m:r>
        <m:r>
          <m:t>e</m:t>
        </m:r>
        <m:r>
          <m:t>r</m:t>
        </m:r>
        <m:r>
          <m:t>c</m:t>
        </m:r>
        <m:r>
          <m:t>i</m:t>
        </m:r>
        <m:r>
          <m:t>a</m:t>
        </m:r>
        <m:r>
          <m:t>l</m:t>
        </m:r>
        <m:r>
          <m:t>l</m:t>
        </m:r>
        <m:r>
          <m:t>o</m:t>
        </m:r>
        <m:r>
          <m:t>a</m:t>
        </m:r>
        <m:r>
          <m:t>n</m:t>
        </m:r>
        <m:r>
          <m:t>g</m:t>
        </m:r>
        <m:r>
          <m:t>r</m:t>
        </m:r>
        <m:r>
          <m:t>o</m:t>
        </m:r>
        <m:r>
          <m:t>w</m:t>
        </m:r>
        <m:r>
          <m:t>t</m:t>
        </m:r>
        <m:r>
          <m:t>h</m:t>
        </m:r>
        <m:r>
          <m:t>i</m:t>
        </m:r>
        <m:r>
          <m:t>n</m:t>
        </m:r>
        <m:r>
          <m:t>Q</m:t>
        </m:r>
        <m:r>
          <m:t>1</m:t>
        </m:r>
        <m:r>
          <m:rPr>
            <m:sty m:val="p"/>
          </m:rPr>
          <m:t>.</m:t>
        </m:r>
        <m:r>
          <m:t>A</m:t>
        </m:r>
        <m:r>
          <m:t>t</m:t>
        </m:r>
        <m:r>
          <m:t>t</m:t>
        </m:r>
        <m:r>
          <m:t>h</m:t>
        </m:r>
        <m:r>
          <m:t>e</m:t>
        </m:r>
        <m:r>
          <m:t>J</m:t>
        </m:r>
        <m:r>
          <m:t>u</m:t>
        </m:r>
        <m:r>
          <m:t>n</m:t>
        </m:r>
        <m:r>
          <m:t>e</m:t>
        </m:r>
        <m:r>
          <m:t>i</m:t>
        </m:r>
        <m:r>
          <m:t>n</m:t>
        </m:r>
        <m:r>
          <m:t>v</m:t>
        </m:r>
        <m:r>
          <m:t>e</m:t>
        </m:r>
        <m:r>
          <m:t>s</m:t>
        </m:r>
        <m:r>
          <m:t>t</m:t>
        </m:r>
        <m:r>
          <m:t>o</m:t>
        </m:r>
        <m:r>
          <m:t>r</m:t>
        </m:r>
        <m:r>
          <m:t>c</m:t>
        </m:r>
        <m:r>
          <m:t>o</m:t>
        </m:r>
        <m:r>
          <m:t>n</m:t>
        </m:r>
        <m:r>
          <m:t>f</m:t>
        </m:r>
        <m:r>
          <m:t>e</m:t>
        </m:r>
        <m:r>
          <m:t>r</m:t>
        </m:r>
        <m:r>
          <m:t>e</m:t>
        </m:r>
        <m:r>
          <m:t>n</m:t>
        </m:r>
        <m:r>
          <m:t>c</m:t>
        </m:r>
        <m:r>
          <m:t>e</m:t>
        </m:r>
        <m:r>
          <m:rPr>
            <m:sty m:val="p"/>
          </m:rPr>
          <m:t>,</m:t>
        </m:r>
        <m:r>
          <m:t>m</m:t>
        </m:r>
        <m:r>
          <m:t>a</m:t>
        </m:r>
        <m:r>
          <m:t>n</m:t>
        </m:r>
        <m:r>
          <m:t>a</m:t>
        </m:r>
        <m:r>
          <m:t>g</m:t>
        </m:r>
        <m:r>
          <m:t>e</m:t>
        </m:r>
        <m:r>
          <m:t>m</m:t>
        </m:r>
        <m:r>
          <m:t>e</m:t>
        </m:r>
        <m:r>
          <m:t>n</m:t>
        </m:r>
        <m:r>
          <m:t>t</m:t>
        </m:r>
        <m:r>
          <m:t>s</m:t>
        </m:r>
        <m:r>
          <m:t>a</m:t>
        </m:r>
        <m:r>
          <m:t>i</m:t>
        </m:r>
        <m:r>
          <m:t>d</m:t>
        </m:r>
        <m:r>
          <m:t>l</m:t>
        </m:r>
        <m:r>
          <m:t>o</m:t>
        </m:r>
        <m:r>
          <m:t>a</m:t>
        </m:r>
        <m:r>
          <m:t>n</m:t>
        </m:r>
        <m:r>
          <m:t>s</m:t>
        </m:r>
        <m:r>
          <m:t>h</m:t>
        </m:r>
        <m:r>
          <m:t>a</m:t>
        </m:r>
        <m:r>
          <m:t>d</m:t>
        </m:r>
        <m:r>
          <m:t>i</m:t>
        </m:r>
        <m:r>
          <m:t>n</m:t>
        </m:r>
        <m:r>
          <m:t>c</m:t>
        </m:r>
        <m:r>
          <m:t>r</m:t>
        </m:r>
        <m:r>
          <m:t>e</m:t>
        </m:r>
        <m:r>
          <m:t>a</m:t>
        </m:r>
        <m:r>
          <m:t>s</m:t>
        </m:r>
        <m:r>
          <m:t>e</m:t>
        </m:r>
        <m:r>
          <m:t>d</m:t>
        </m:r>
        <m:r>
          <m:t>a</m:t>
        </m:r>
        <m:r>
          <m:t>p</m:t>
        </m:r>
        <m:r>
          <m:t>p</m:t>
        </m:r>
        <m:r>
          <m:t>r</m:t>
        </m:r>
        <m:r>
          <m:t>o</m:t>
        </m:r>
        <m:r>
          <m:t>x</m:t>
        </m:r>
        <m:r>
          <m:t>i</m:t>
        </m:r>
        <m:r>
          <m:t>m</m:t>
        </m:r>
        <m:r>
          <m:t>a</m:t>
        </m:r>
        <m:r>
          <m:t>t</m:t>
        </m:r>
        <m:r>
          <m:t>e</m:t>
        </m:r>
        <m:r>
          <m:t>l</m:t>
        </m:r>
        <m:r>
          <m:t>y</m:t>
        </m:r>
        <m:r>
          <m:t>a</m:t>
        </m:r>
        <m:r>
          <m:t>n</m:t>
        </m:r>
        <m:r>
          <m:t>o</m:t>
        </m:r>
        <m:r>
          <m:t>t</m:t>
        </m:r>
        <m:r>
          <m:t>h</m:t>
        </m:r>
        <m:r>
          <m:t>e</m:t>
        </m:r>
        <m:r>
          <m:t>r</m:t>
        </m:r>
        <m:r>
          <m:rPr>
            <m:sty m:val="p"/>
          </m:rPr>
          <m:t>*</m:t>
        </m:r>
        <m:r>
          <m:rPr>
            <m:sty m:val="p"/>
          </m:rPr>
          <m:t>*</m:t>
        </m:r>
      </m:oMath>
      <w:r>
        <w:t xml:space="preserve">1.5 billion quarter-to-date**, driven by new clients and higher utilization.</w:t>
      </w:r>
    </w:p>
    <w:p>
      <w:pPr>
        <w:pStyle w:val="BodyText"/>
      </w:pPr>
      <w:r>
        <w:t xml:space="preserve">The growth has reportedly been broad-based, with particular strength in:</w:t>
      </w:r>
    </w:p>
    <w:p>
      <w:pPr>
        <w:pStyle w:val="Compact"/>
        <w:numPr>
          <w:ilvl w:val="0"/>
          <w:numId w:val="1003"/>
        </w:numPr>
      </w:pPr>
      <w:r>
        <w:t xml:space="preserve">Middle-market lending</w:t>
      </w:r>
    </w:p>
    <w:p>
      <w:pPr>
        <w:pStyle w:val="Compact"/>
        <w:numPr>
          <w:ilvl w:val="0"/>
          <w:numId w:val="1003"/>
        </w:numPr>
      </w:pPr>
      <w:r>
        <w:t xml:space="preserve">Utilities, power and renewables</w:t>
      </w:r>
    </w:p>
    <w:p>
      <w:pPr>
        <w:pStyle w:val="Compact"/>
        <w:numPr>
          <w:ilvl w:val="0"/>
          <w:numId w:val="1003"/>
        </w:numPr>
      </w:pPr>
      <w:r>
        <w:t xml:space="preserve">Financial services</w:t>
      </w:r>
    </w:p>
    <w:p>
      <w:pPr>
        <w:pStyle w:val="Compact"/>
        <w:numPr>
          <w:ilvl w:val="0"/>
          <w:numId w:val="1003"/>
        </w:numPr>
      </w:pPr>
      <w:r>
        <w:t xml:space="preserve">Healthcare</w:t>
      </w:r>
    </w:p>
    <w:p>
      <w:pPr>
        <w:pStyle w:val="Compact"/>
        <w:numPr>
          <w:ilvl w:val="0"/>
          <w:numId w:val="1003"/>
        </w:numPr>
      </w:pPr>
      <w:r>
        <w:t xml:space="preserve">Commercial real estate refinancing and transaction activity</w:t>
      </w:r>
    </w:p>
    <w:p>
      <w:pPr>
        <w:pStyle w:val="FirstParagraph"/>
      </w:pPr>
      <w:r>
        <w:t xml:space="preserve">The quality of loan growth matters more than the raw balance. Investors should watch:</w:t>
      </w:r>
    </w:p>
    <w:p>
      <w:pPr>
        <w:pStyle w:val="Compact"/>
        <w:numPr>
          <w:ilvl w:val="0"/>
          <w:numId w:val="1004"/>
        </w:numPr>
      </w:pPr>
      <w:r>
        <w:t xml:space="preserve">C&amp;I utilization, which was 31.5% in Q1</w:t>
      </w:r>
    </w:p>
    <w:p>
      <w:pPr>
        <w:pStyle w:val="Compact"/>
        <w:numPr>
          <w:ilvl w:val="0"/>
          <w:numId w:val="1004"/>
        </w:numPr>
      </w:pPr>
      <w:r>
        <w:t xml:space="preserve">New-loan spreads and underwriting standards</w:t>
      </w:r>
    </w:p>
    <w:p>
      <w:pPr>
        <w:pStyle w:val="Compact"/>
        <w:numPr>
          <w:ilvl w:val="0"/>
          <w:numId w:val="1004"/>
        </w:numPr>
      </w:pPr>
      <w:r>
        <w:t xml:space="preserve">Associated deposits, payments and capital-markets revenue</w:t>
      </w:r>
    </w:p>
    <w:p>
      <w:pPr>
        <w:pStyle w:val="Compact"/>
        <w:numPr>
          <w:ilvl w:val="0"/>
          <w:numId w:val="1004"/>
        </w:numPr>
      </w:pPr>
      <w:r>
        <w:t xml:space="preserve">Whether growth is being retained or syndicated</w:t>
      </w:r>
    </w:p>
    <w:p>
      <w:pPr>
        <w:pStyle w:val="Compact"/>
        <w:numPr>
          <w:ilvl w:val="0"/>
          <w:numId w:val="1004"/>
        </w:numPr>
      </w:pPr>
      <w:r>
        <w:t xml:space="preserve">Continued runoff of low-yielding residential mortgages and other consumer loans</w:t>
      </w:r>
    </w:p>
    <w:p>
      <w:pPr>
        <w:pStyle w:val="FirstParagraph"/>
      </w:pPr>
      <w:r>
        <w:t xml:space="preserve">Key raised its 2026 average-loan outlook after Q1 to</w:t>
      </w:r>
      <w:r>
        <w:t xml:space="preserve"> </w:t>
      </w:r>
      <w:r>
        <w:rPr>
          <w:b/>
          <w:bCs/>
        </w:rPr>
        <w:t xml:space="preserve">2%–4% growth</w:t>
      </w:r>
      <w:r>
        <w:t xml:space="preserve">, including</w:t>
      </w:r>
      <w:r>
        <w:t xml:space="preserve"> </w:t>
      </w:r>
      <w:r>
        <w:rPr>
          <w:b/>
          <w:bCs/>
        </w:rPr>
        <w:t xml:space="preserve">6%–8% commercial growth</w:t>
      </w:r>
      <w:r>
        <w:t xml:space="preserve">. Given the Q2 update, another increase is possible, but management may wait until Q3 because utilization and repayments can be volatile.</w:t>
      </w:r>
    </w:p>
    <w:bookmarkEnd w:id="15"/>
    <w:bookmarkStart w:id="17" w:name="X1748a32c6a2847bea74a9bf6fb0858abf991233"/>
    <w:p>
      <w:pPr>
        <w:pStyle w:val="Heading2"/>
      </w:pPr>
      <w:r>
        <w:t xml:space="preserve">3. Fees will probably decline sequentially—but that is already expected</w:t>
      </w:r>
    </w:p>
    <w:p>
      <w:pPr>
        <w:pStyle w:val="FirstParagraph"/>
      </w:pPr>
      <w:r>
        <w:t xml:space="preserve">Q1 investment-banking and debt-placement revenue reached</w:t>
      </w:r>
      <w:r>
        <w:t xml:space="preserve"> </w:t>
      </w:r>
      <m:oMath>
        <m:r>
          <m:t>197</m:t>
        </m:r>
        <m:r>
          <m:t>m</m:t>
        </m:r>
        <m:r>
          <m:t>i</m:t>
        </m:r>
        <m:r>
          <m:t>l</m:t>
        </m:r>
        <m:r>
          <m:t>l</m:t>
        </m:r>
        <m:r>
          <m:t>i</m:t>
        </m:r>
        <m:r>
          <m:t>o</m:t>
        </m:r>
        <m:r>
          <m:t>n</m:t>
        </m:r>
        <m:r>
          <m:rPr>
            <m:sty m:val="p"/>
          </m:rPr>
          <m:t>.</m:t>
        </m:r>
        <m:r>
          <m:t>M</m:t>
        </m:r>
        <m:r>
          <m:t>a</m:t>
        </m:r>
        <m:r>
          <m:t>n</m:t>
        </m:r>
        <m:r>
          <m:t>a</m:t>
        </m:r>
        <m:r>
          <m:t>g</m:t>
        </m:r>
        <m:r>
          <m:t>e</m:t>
        </m:r>
        <m:r>
          <m:t>m</m:t>
        </m:r>
        <m:r>
          <m:t>e</m:t>
        </m:r>
        <m:r>
          <m:t>n</m:t>
        </m:r>
        <m:r>
          <m:t>t</m:t>
        </m:r>
        <m:r>
          <m:t>s</m:t>
        </m:r>
        <m:r>
          <m:t>u</m:t>
        </m:r>
        <m:r>
          <m:t>b</m:t>
        </m:r>
        <m:r>
          <m:t>s</m:t>
        </m:r>
        <m:r>
          <m:t>e</m:t>
        </m:r>
        <m:r>
          <m:t>q</m:t>
        </m:r>
        <m:r>
          <m:t>u</m:t>
        </m:r>
        <m:r>
          <m:t>e</m:t>
        </m:r>
        <m:r>
          <m:t>n</m:t>
        </m:r>
        <m:r>
          <m:t>t</m:t>
        </m:r>
        <m:r>
          <m:t>l</m:t>
        </m:r>
        <m:r>
          <m:t>y</m:t>
        </m:r>
        <m:r>
          <m:t>g</m:t>
        </m:r>
        <m:r>
          <m:t>u</m:t>
        </m:r>
        <m:r>
          <m:t>i</m:t>
        </m:r>
        <m:r>
          <m:t>d</m:t>
        </m:r>
        <m:r>
          <m:t>e</m:t>
        </m:r>
        <m:r>
          <m:t>d</m:t>
        </m:r>
        <m:r>
          <m:t>Q</m:t>
        </m:r>
        <m:r>
          <m:t>2</m:t>
        </m:r>
        <m:r>
          <m:t>t</m:t>
        </m:r>
        <m:r>
          <m:t>o</m:t>
        </m:r>
        <m:r>
          <m:rPr>
            <m:sty m:val="p"/>
          </m:rPr>
          <m:t>*</m:t>
        </m:r>
        <m:r>
          <m:rPr>
            <m:sty m:val="p"/>
          </m:rPr>
          <m:t>*</m:t>
        </m:r>
      </m:oMath>
      <w:r>
        <w:t xml:space="preserve">175 million–$180 million**, reflecting a slower conversion of middle-market M&amp;A pipelines.</w:t>
      </w:r>
    </w:p>
    <w:p>
      <w:pPr>
        <w:pStyle w:val="BodyText"/>
      </w:pPr>
      <w:r>
        <w:t xml:space="preserve">This is not necessarily a sign of franchise weakness. Pipelines have remained elevated, but clients have delayed transactions amid rate and macro uncertainty. The important questions are:</w:t>
      </w:r>
    </w:p>
    <w:p>
      <w:pPr>
        <w:pStyle w:val="Compact"/>
        <w:numPr>
          <w:ilvl w:val="0"/>
          <w:numId w:val="1005"/>
        </w:numPr>
      </w:pPr>
      <w:r>
        <w:t xml:space="preserve">Did investment-banking fees reach the guided range?</w:t>
      </w:r>
    </w:p>
    <w:p>
      <w:pPr>
        <w:pStyle w:val="Compact"/>
        <w:numPr>
          <w:ilvl w:val="0"/>
          <w:numId w:val="1005"/>
        </w:numPr>
      </w:pPr>
      <w:r>
        <w:t xml:space="preserve">Are M&amp;A pipelines still near record levels?</w:t>
      </w:r>
    </w:p>
    <w:p>
      <w:pPr>
        <w:pStyle w:val="Compact"/>
        <w:numPr>
          <w:ilvl w:val="0"/>
          <w:numId w:val="1005"/>
        </w:numPr>
      </w:pPr>
      <w:r>
        <w:t xml:space="preserve">Is activity being delayed or cancelled?</w:t>
      </w:r>
    </w:p>
    <w:p>
      <w:pPr>
        <w:pStyle w:val="Compact"/>
        <w:numPr>
          <w:ilvl w:val="0"/>
          <w:numId w:val="1005"/>
        </w:numPr>
      </w:pPr>
      <w:r>
        <w:t xml:space="preserve">Does management retain its mid-single-digit full-year growth outlook?</w:t>
      </w:r>
    </w:p>
    <w:p>
      <w:pPr>
        <w:pStyle w:val="Compact"/>
        <w:numPr>
          <w:ilvl w:val="0"/>
          <w:numId w:val="1005"/>
        </w:numPr>
      </w:pPr>
      <w:r>
        <w:t xml:space="preserve">Are payments and wealth revenues compensating for slower advisory activity?</w:t>
      </w:r>
    </w:p>
    <w:p>
      <w:pPr>
        <w:pStyle w:val="FirstParagraph"/>
      </w:pPr>
      <w:r>
        <w:t xml:space="preserve">Key has also agreed to acquire Clearwater UK, giving its middle-market advisory operation a Western European presence. The transaction is expected to close in the second half of 2026, subject to approvals, and is more relevant to the medium-term fee-growth story than to Q2 earnings. (</w:t>
      </w:r>
      <w:hyperlink r:id="rId16">
        <w:r>
          <w:rPr>
            <w:rStyle w:val="Hyperlink"/>
          </w:rPr>
          <w:t xml:space="preserve">investor.key.com</w:t>
        </w:r>
      </w:hyperlink>
      <w:r>
        <w:t xml:space="preserve">)</w:t>
      </w:r>
    </w:p>
    <w:bookmarkEnd w:id="17"/>
    <w:bookmarkStart w:id="18" w:name="X7c4b0b4fcfa044ab816cd0bacba98a379d9d738"/>
    <w:p>
      <w:pPr>
        <w:pStyle w:val="Heading2"/>
      </w:pPr>
      <w:r>
        <w:t xml:space="preserve">4. Expense growth is the principal near-term earnings offset</w:t>
      </w:r>
    </w:p>
    <w:p>
      <w:pPr>
        <w:pStyle w:val="FirstParagraph"/>
      </w:pPr>
      <w:r>
        <w:t xml:space="preserve">Management indicated Q2 expenses should rise</w:t>
      </w:r>
      <w:r>
        <w:t xml:space="preserve"> </w:t>
      </w:r>
      <w:r>
        <w:rPr>
          <w:b/>
          <w:bCs/>
        </w:rPr>
        <w:t xml:space="preserve">3.5%–4% sequentially</w:t>
      </w:r>
      <w:r>
        <w:t xml:space="preserve">, implying approximately $1.22 billion to $1.23 billion. Drivers include:</w:t>
      </w:r>
    </w:p>
    <w:p>
      <w:pPr>
        <w:pStyle w:val="Compact"/>
        <w:numPr>
          <w:ilvl w:val="0"/>
          <w:numId w:val="1006"/>
        </w:numPr>
      </w:pPr>
      <w:r>
        <w:t xml:space="preserve">Frontline banker hiring</w:t>
      </w:r>
    </w:p>
    <w:p>
      <w:pPr>
        <w:pStyle w:val="Compact"/>
        <w:numPr>
          <w:ilvl w:val="0"/>
          <w:numId w:val="1006"/>
        </w:numPr>
      </w:pPr>
      <w:r>
        <w:t xml:space="preserve">Annual merit increases</w:t>
      </w:r>
    </w:p>
    <w:p>
      <w:pPr>
        <w:pStyle w:val="Compact"/>
        <w:numPr>
          <w:ilvl w:val="0"/>
          <w:numId w:val="1006"/>
        </w:numPr>
      </w:pPr>
      <w:r>
        <w:t xml:space="preserve">Employee benefit costs</w:t>
      </w:r>
    </w:p>
    <w:p>
      <w:pPr>
        <w:pStyle w:val="Compact"/>
        <w:numPr>
          <w:ilvl w:val="0"/>
          <w:numId w:val="1006"/>
        </w:numPr>
      </w:pPr>
      <w:r>
        <w:t xml:space="preserve">Market-linked compensation</w:t>
      </w:r>
    </w:p>
    <w:p>
      <w:pPr>
        <w:pStyle w:val="Compact"/>
        <w:numPr>
          <w:ilvl w:val="0"/>
          <w:numId w:val="1006"/>
        </w:numPr>
      </w:pPr>
      <w:r>
        <w:t xml:space="preserve">Technology and AI investment</w:t>
      </w:r>
    </w:p>
    <w:p>
      <w:pPr>
        <w:pStyle w:val="FirstParagraph"/>
      </w:pPr>
      <w:r>
        <w:t xml:space="preserve">Management expects expense growth to moderate in the second half and has retained its</w:t>
      </w:r>
      <w:r>
        <w:t xml:space="preserve"> </w:t>
      </w:r>
      <w:r>
        <w:rPr>
          <w:b/>
          <w:bCs/>
        </w:rPr>
        <w:t xml:space="preserve">3%–4% full-year adjusted expense growth</w:t>
      </w:r>
      <w:r>
        <w:t xml:space="preserve"> </w:t>
      </w:r>
      <w:r>
        <w:t xml:space="preserve">target.</w:t>
      </w:r>
    </w:p>
    <w:p>
      <w:pPr>
        <w:pStyle w:val="BodyText"/>
      </w:pPr>
      <w:r>
        <w:t xml:space="preserve">Investors will probably tolerate the Q2 increase if it accompanies loan, NII and fee growth. The negative scenario would be elevated expenses combined with weaker investment-banking revenue and no acceleration in NII.</w:t>
      </w:r>
    </w:p>
    <w:bookmarkEnd w:id="18"/>
    <w:bookmarkStart w:id="19" w:name="X246296657d0867ab975641a002119c43c4a56ca"/>
    <w:p>
      <w:pPr>
        <w:pStyle w:val="Heading2"/>
      </w:pPr>
      <w:r>
        <w:t xml:space="preserve">5. Credit should remain manageable, but migration deserves attention</w:t>
      </w:r>
    </w:p>
    <w:p>
      <w:pPr>
        <w:pStyle w:val="FirstParagraph"/>
      </w:pPr>
      <w:r>
        <w:t xml:space="preserve">Key’s Q1 credit metrics were healthy:</w:t>
      </w:r>
    </w:p>
    <w:p>
      <w:pPr>
        <w:pStyle w:val="Compact"/>
        <w:numPr>
          <w:ilvl w:val="0"/>
          <w:numId w:val="1007"/>
        </w:numPr>
      </w:pPr>
      <w:r>
        <w:t xml:space="preserve">Net charge-offs: 38 basis points</w:t>
      </w:r>
    </w:p>
    <w:p>
      <w:pPr>
        <w:pStyle w:val="Compact"/>
        <w:numPr>
          <w:ilvl w:val="0"/>
          <w:numId w:val="1007"/>
        </w:numPr>
      </w:pPr>
      <w:r>
        <w:t xml:space="preserve">Nonperforming assets: 63 basis points of loans plus OREO</w:t>
      </w:r>
    </w:p>
    <w:p>
      <w:pPr>
        <w:pStyle w:val="Compact"/>
        <w:numPr>
          <w:ilvl w:val="0"/>
          <w:numId w:val="1007"/>
        </w:numPr>
      </w:pPr>
      <w:r>
        <w:t xml:space="preserve">Allowance for credit losses: 1.60% of loans</w:t>
      </w:r>
    </w:p>
    <w:p>
      <w:pPr>
        <w:pStyle w:val="Compact"/>
        <w:numPr>
          <w:ilvl w:val="0"/>
          <w:numId w:val="1007"/>
        </w:numPr>
      </w:pPr>
      <w:r>
        <w:t xml:space="preserve">Criticized loans: 4.9% of total loans</w:t>
      </w:r>
    </w:p>
    <w:p>
      <w:pPr>
        <w:pStyle w:val="FirstParagraph"/>
      </w:pPr>
      <w:r>
        <w:t xml:space="preserve">Management has since suggested that charge-offs should remain around</w:t>
      </w:r>
      <w:r>
        <w:t xml:space="preserve"> </w:t>
      </w:r>
      <w:r>
        <w:rPr>
          <w:b/>
          <w:bCs/>
        </w:rPr>
        <w:t xml:space="preserve">40 basis points</w:t>
      </w:r>
      <w:r>
        <w:t xml:space="preserve">, although several quarters of improving credit metrics could give way to stabilization or modest deterioration.</w:t>
      </w:r>
    </w:p>
    <w:p>
      <w:pPr>
        <w:pStyle w:val="BodyText"/>
      </w:pPr>
      <w:r>
        <w:t xml:space="preserve">Areas to monitor include:</w:t>
      </w:r>
    </w:p>
    <w:p>
      <w:pPr>
        <w:pStyle w:val="Compact"/>
        <w:numPr>
          <w:ilvl w:val="0"/>
          <w:numId w:val="1008"/>
        </w:numPr>
      </w:pPr>
      <w:r>
        <w:t xml:space="preserve">Transportation companies exposed to fuel costs</w:t>
      </w:r>
    </w:p>
    <w:p>
      <w:pPr>
        <w:pStyle w:val="Compact"/>
        <w:numPr>
          <w:ilvl w:val="0"/>
          <w:numId w:val="1008"/>
        </w:numPr>
      </w:pPr>
      <w:r>
        <w:t xml:space="preserve">Agriculture</w:t>
      </w:r>
    </w:p>
    <w:p>
      <w:pPr>
        <w:pStyle w:val="Compact"/>
        <w:numPr>
          <w:ilvl w:val="0"/>
          <w:numId w:val="1008"/>
        </w:numPr>
      </w:pPr>
      <w:r>
        <w:t xml:space="preserve">Consumer-products businesses</w:t>
      </w:r>
    </w:p>
    <w:p>
      <w:pPr>
        <w:pStyle w:val="Compact"/>
        <w:numPr>
          <w:ilvl w:val="0"/>
          <w:numId w:val="1008"/>
        </w:numPr>
      </w:pPr>
      <w:r>
        <w:t xml:space="preserve">Leveraged borrowers facing refinancing pressure</w:t>
      </w:r>
    </w:p>
    <w:p>
      <w:pPr>
        <w:pStyle w:val="Compact"/>
        <w:numPr>
          <w:ilvl w:val="0"/>
          <w:numId w:val="1008"/>
        </w:numPr>
      </w:pPr>
      <w:r>
        <w:t xml:space="preserve">Multifamily and office commercial real estate</w:t>
      </w:r>
    </w:p>
    <w:p>
      <w:pPr>
        <w:pStyle w:val="Compact"/>
        <w:numPr>
          <w:ilvl w:val="0"/>
          <w:numId w:val="1008"/>
        </w:numPr>
      </w:pPr>
      <w:r>
        <w:t xml:space="preserve">Oil and gas exposures</w:t>
      </w:r>
    </w:p>
    <w:p>
      <w:pPr>
        <w:pStyle w:val="Compact"/>
        <w:numPr>
          <w:ilvl w:val="0"/>
          <w:numId w:val="1008"/>
        </w:numPr>
      </w:pPr>
      <w:r>
        <w:t xml:space="preserve">Nonbank financial institution and private-credit lending</w:t>
      </w:r>
    </w:p>
    <w:p>
      <w:pPr>
        <w:pStyle w:val="FirstParagraph"/>
      </w:pPr>
      <w:r>
        <w:t xml:space="preserve">A modest rise in criticized or nonperforming loans would not be surprising. The key distinction is whether weakness remains confined to a few identifiable credits or becomes broad-based.</w:t>
      </w:r>
    </w:p>
    <w:bookmarkEnd w:id="19"/>
    <w:bookmarkStart w:id="21" w:name="X196af7d97170acf77e5236daab478d1f1d0fd32"/>
    <w:p>
      <w:pPr>
        <w:pStyle w:val="Heading2"/>
      </w:pPr>
      <w:r>
        <w:t xml:space="preserve">6. Capital return remains a major part of the thesis</w:t>
      </w:r>
    </w:p>
    <w:p>
      <w:pPr>
        <w:pStyle w:val="FirstParagraph"/>
      </w:pPr>
      <w:r>
        <w:t xml:space="preserve">Key repurchased $389 million of stock in Q1 at an average price of $21.47. Management expects at least</w:t>
      </w:r>
      <w:r>
        <w:t xml:space="preserve"> </w:t>
      </w:r>
      <m:oMath>
        <m:r>
          <m:t>300</m:t>
        </m:r>
        <m:r>
          <m:t>m</m:t>
        </m:r>
        <m:r>
          <m:t>i</m:t>
        </m:r>
        <m:r>
          <m:t>l</m:t>
        </m:r>
        <m:r>
          <m:t>l</m:t>
        </m:r>
        <m:r>
          <m:t>i</m:t>
        </m:r>
        <m:r>
          <m:t>o</m:t>
        </m:r>
        <m:r>
          <m:t>n</m:t>
        </m:r>
        <m:r>
          <m:t>p</m:t>
        </m:r>
        <m:r>
          <m:t>e</m:t>
        </m:r>
        <m:r>
          <m:t>r</m:t>
        </m:r>
        <m:r>
          <m:t>q</m:t>
        </m:r>
        <m:r>
          <m:t>u</m:t>
        </m:r>
        <m:r>
          <m:t>a</m:t>
        </m:r>
        <m:r>
          <m:t>r</m:t>
        </m:r>
        <m:r>
          <m:t>t</m:t>
        </m:r>
        <m:r>
          <m:t>e</m:t>
        </m:r>
        <m:r>
          <m:t>r</m:t>
        </m:r>
        <m:r>
          <m:t>f</m:t>
        </m:r>
        <m:r>
          <m:t>o</m:t>
        </m:r>
        <m:r>
          <m:t>r</m:t>
        </m:r>
        <m:r>
          <m:t>t</m:t>
        </m:r>
        <m:r>
          <m:t>h</m:t>
        </m:r>
        <m:r>
          <m:t>e</m:t>
        </m:r>
        <m:r>
          <m:t>r</m:t>
        </m:r>
        <m:r>
          <m:t>e</m:t>
        </m:r>
        <m:r>
          <m:t>s</m:t>
        </m:r>
        <m:r>
          <m:t>t</m:t>
        </m:r>
        <m:r>
          <m:t>o</m:t>
        </m:r>
        <m:r>
          <m:t>f</m:t>
        </m:r>
        <m:r>
          <m:t>t</m:t>
        </m:r>
        <m:r>
          <m:t>h</m:t>
        </m:r>
        <m:r>
          <m:t>e</m:t>
        </m:r>
        <m:r>
          <m:t>y</m:t>
        </m:r>
        <m:r>
          <m:t>e</m:t>
        </m:r>
        <m:r>
          <m:t>a</m:t>
        </m:r>
        <m:r>
          <m:t>r</m:t>
        </m:r>
        <m:r>
          <m:t>a</m:t>
        </m:r>
        <m:r>
          <m:t>n</m:t>
        </m:r>
        <m:r>
          <m:t>d</m:t>
        </m:r>
        <m:r>
          <m:t>a</m:t>
        </m:r>
        <m:r>
          <m:t>t</m:t>
        </m:r>
        <m:r>
          <m:t>l</m:t>
        </m:r>
        <m:r>
          <m:t>e</m:t>
        </m:r>
        <m:r>
          <m:t>a</m:t>
        </m:r>
        <m:r>
          <m:t>s</m:t>
        </m:r>
        <m:r>
          <m:t>t</m:t>
        </m:r>
        <m:r>
          <m:rPr>
            <m:sty m:val="p"/>
          </m:rPr>
          <m:t>*</m:t>
        </m:r>
        <m:r>
          <m:rPr>
            <m:sty m:val="p"/>
          </m:rPr>
          <m:t>*</m:t>
        </m:r>
      </m:oMath>
      <w:r>
        <w:t xml:space="preserve">1.3 billion for full-year 2026**.</w:t>
      </w:r>
    </w:p>
    <w:p>
      <w:pPr>
        <w:pStyle w:val="BodyText"/>
      </w:pPr>
      <w:r>
        <w:t xml:space="preserve">In May, the board replaced the prior authorization with a new program permitting up to</w:t>
      </w:r>
      <w:r>
        <w:t xml:space="preserve"> </w:t>
      </w:r>
      <w:r>
        <w:rPr>
          <w:b/>
          <w:bCs/>
        </w:rPr>
        <w:t xml:space="preserve">$3 billion</w:t>
      </w:r>
      <w:r>
        <w:t xml:space="preserve"> </w:t>
      </w:r>
      <w:r>
        <w:t xml:space="preserve">of repurchases. (</w:t>
      </w:r>
      <w:hyperlink r:id="rId20">
        <w:r>
          <w:rPr>
            <w:rStyle w:val="Hyperlink"/>
          </w:rPr>
          <w:t xml:space="preserve">investor.key.com</w:t>
        </w:r>
      </w:hyperlink>
      <w:r>
        <w:t xml:space="preserve">)</w:t>
      </w:r>
    </w:p>
    <w:p>
      <w:pPr>
        <w:pStyle w:val="BodyText"/>
      </w:pPr>
      <w:r>
        <w:t xml:space="preserve">At March 31, Key had:</w:t>
      </w:r>
    </w:p>
    <w:p>
      <w:pPr>
        <w:pStyle w:val="Compact"/>
        <w:numPr>
          <w:ilvl w:val="0"/>
          <w:numId w:val="1009"/>
        </w:numPr>
      </w:pPr>
      <w:r>
        <w:t xml:space="preserve">CET1 of 11.4%</w:t>
      </w:r>
    </w:p>
    <w:p>
      <w:pPr>
        <w:pStyle w:val="Compact"/>
        <w:numPr>
          <w:ilvl w:val="0"/>
          <w:numId w:val="1009"/>
        </w:numPr>
      </w:pPr>
      <w:r>
        <w:t xml:space="preserve">Marked CET1 of approximately 10.0%</w:t>
      </w:r>
    </w:p>
    <w:p>
      <w:pPr>
        <w:pStyle w:val="Compact"/>
        <w:numPr>
          <w:ilvl w:val="0"/>
          <w:numId w:val="1009"/>
        </w:numPr>
      </w:pPr>
      <w:r>
        <w:t xml:space="preserve">A preliminary estimate of more than 100 basis points of potential marked-CET1 benefit from the proposed Basel framework</w:t>
      </w:r>
    </w:p>
    <w:p>
      <w:pPr>
        <w:pStyle w:val="FirstParagraph"/>
      </w:pPr>
      <w:r>
        <w:t xml:space="preserve">Investors should listen for confirmation that $1.3 billion remains a floor rather than a ceiling. At the same time, the stock now trades above Key’s Q1 repurchase price, so management may emphasize methodical deployment rather than immediate use of the entire authorization.</w:t>
      </w:r>
    </w:p>
    <w:bookmarkEnd w:id="21"/>
    <w:bookmarkStart w:id="22" w:name="stock-setup"/>
    <w:p>
      <w:pPr>
        <w:pStyle w:val="Heading2"/>
      </w:pPr>
      <w:r>
        <w:t xml:space="preserve">Stock setup</w:t>
      </w:r>
    </w:p>
    <w:p>
      <w:pPr>
        <w:pStyle w:val="FirstParagraph"/>
      </w:pPr>
      <w:r>
        <w:t xml:space="preserve">KEY closed July 20 at approximately</w:t>
      </w:r>
      <w:r>
        <w:t xml:space="preserve"> </w:t>
      </w:r>
      <w:r>
        <w:rPr>
          <w:b/>
          <w:bCs/>
        </w:rPr>
        <w:t xml:space="preserve">$23.33</w:t>
      </w:r>
      <w:r>
        <w:t xml:space="preserve">, up about</w:t>
      </w:r>
      <w:r>
        <w:t xml:space="preserve"> </w:t>
      </w:r>
      <w:r>
        <w:rPr>
          <w:b/>
          <w:bCs/>
        </w:rPr>
        <w:t xml:space="preserve">7.7% since the Q1 report</w:t>
      </w:r>
      <w:r>
        <w:t xml:space="preserve">, compared with roughly 10.3% for the SPDR S&amp;P Regional Banking ETF over the same period.</w:t>
      </w:r>
    </w:p>
    <w:p>
      <w:pPr>
        <w:pStyle w:val="BodyText"/>
      </w:pPr>
      <w:r>
        <w:t xml:space="preserve">Using Q1 tangible book value of $13.60 per share and a roughly $1.82 published full-year EPS estimate, the shares trade around:</w:t>
      </w:r>
    </w:p>
    <w:p>
      <w:pPr>
        <w:pStyle w:val="Compact"/>
        <w:numPr>
          <w:ilvl w:val="0"/>
          <w:numId w:val="1010"/>
        </w:numPr>
      </w:pPr>
      <w:r>
        <w:rPr>
          <w:b/>
          <w:bCs/>
        </w:rPr>
        <w:t xml:space="preserve">1.7× tangible book value</w:t>
      </w:r>
    </w:p>
    <w:p>
      <w:pPr>
        <w:pStyle w:val="Compact"/>
        <w:numPr>
          <w:ilvl w:val="0"/>
          <w:numId w:val="1010"/>
        </w:numPr>
      </w:pPr>
      <w:r>
        <w:rPr>
          <w:b/>
          <w:bCs/>
        </w:rPr>
        <w:t xml:space="preserve">12.8× estimated 2026 EPS</w:t>
      </w:r>
    </w:p>
    <w:p>
      <w:pPr>
        <w:pStyle w:val="Compact"/>
        <w:numPr>
          <w:ilvl w:val="0"/>
          <w:numId w:val="1010"/>
        </w:numPr>
      </w:pPr>
      <w:r>
        <w:rPr>
          <w:b/>
          <w:bCs/>
        </w:rPr>
        <w:t xml:space="preserve">3.5% indicated dividend yield</w:t>
      </w:r>
    </w:p>
    <w:p>
      <w:pPr>
        <w:pStyle w:val="FirstParagraph"/>
      </w:pPr>
      <w:r>
        <w:t xml:space="preserve">That is not an extreme valuation, but it does imply that investors already expect the NII recovery, loan growth and buybacks to continue.</w:t>
      </w:r>
    </w:p>
    <w:bookmarkEnd w:id="22"/>
    <w:bookmarkStart w:id="26" w:name="what-would-constitute-a-strong-report"/>
    <w:p>
      <w:pPr>
        <w:pStyle w:val="Heading2"/>
      </w:pPr>
      <w:r>
        <w:t xml:space="preserve">What would constitute a strong report?</w:t>
      </w:r>
    </w:p>
    <w:bookmarkStart w:id="23" w:name="bullish"/>
    <w:p>
      <w:pPr>
        <w:pStyle w:val="Heading3"/>
      </w:pPr>
      <w:r>
        <w:t xml:space="preserve">Bullish</w:t>
      </w:r>
    </w:p>
    <w:p>
      <w:pPr>
        <w:pStyle w:val="Compact"/>
        <w:numPr>
          <w:ilvl w:val="0"/>
          <w:numId w:val="1011"/>
        </w:numPr>
      </w:pPr>
      <w:r>
        <w:t xml:space="preserve">EPS of</w:t>
      </w:r>
      <w:r>
        <w:t xml:space="preserve"> </w:t>
      </w:r>
      <w:r>
        <w:rPr>
          <w:b/>
          <w:bCs/>
        </w:rPr>
        <w:t xml:space="preserve">$0.43 or better</w:t>
      </w:r>
    </w:p>
    <w:p>
      <w:pPr>
        <w:pStyle w:val="Compact"/>
        <w:numPr>
          <w:ilvl w:val="0"/>
          <w:numId w:val="1011"/>
        </w:numPr>
      </w:pPr>
      <w:r>
        <w:t xml:space="preserve">NII around or above</w:t>
      </w:r>
      <w:r>
        <w:t xml:space="preserve"> </w:t>
      </w:r>
      <w:r>
        <w:rPr>
          <w:b/>
          <w:bCs/>
        </w:rPr>
        <w:t xml:space="preserve">$1.27 billion</w:t>
      </w:r>
    </w:p>
    <w:p>
      <w:pPr>
        <w:pStyle w:val="Compact"/>
        <w:numPr>
          <w:ilvl w:val="0"/>
          <w:numId w:val="1011"/>
        </w:numPr>
      </w:pPr>
      <w:r>
        <w:t xml:space="preserve">NIM of approximately</w:t>
      </w:r>
      <w:r>
        <w:t xml:space="preserve"> </w:t>
      </w:r>
      <w:r>
        <w:rPr>
          <w:b/>
          <w:bCs/>
        </w:rPr>
        <w:t xml:space="preserve">2.92% or higher</w:t>
      </w:r>
    </w:p>
    <w:p>
      <w:pPr>
        <w:pStyle w:val="Compact"/>
        <w:numPr>
          <w:ilvl w:val="0"/>
          <w:numId w:val="1011"/>
        </w:numPr>
      </w:pPr>
      <w:r>
        <w:t xml:space="preserve">Investment-banking fees at or above $180 million</w:t>
      </w:r>
    </w:p>
    <w:p>
      <w:pPr>
        <w:pStyle w:val="Compact"/>
        <w:numPr>
          <w:ilvl w:val="0"/>
          <w:numId w:val="1011"/>
        </w:numPr>
      </w:pPr>
      <w:r>
        <w:t xml:space="preserve">Continued broad commercial loan growth</w:t>
      </w:r>
    </w:p>
    <w:p>
      <w:pPr>
        <w:pStyle w:val="Compact"/>
        <w:numPr>
          <w:ilvl w:val="0"/>
          <w:numId w:val="1011"/>
        </w:numPr>
      </w:pPr>
      <w:r>
        <w:t xml:space="preserve">Stable average deposits and period-end deposits above Q1</w:t>
      </w:r>
    </w:p>
    <w:p>
      <w:pPr>
        <w:pStyle w:val="Compact"/>
        <w:numPr>
          <w:ilvl w:val="0"/>
          <w:numId w:val="1011"/>
        </w:numPr>
      </w:pPr>
      <w:r>
        <w:t xml:space="preserve">Charge-offs around 40 basis points with no broad deterioration</w:t>
      </w:r>
    </w:p>
    <w:p>
      <w:pPr>
        <w:pStyle w:val="Compact"/>
        <w:numPr>
          <w:ilvl w:val="0"/>
          <w:numId w:val="1011"/>
        </w:numPr>
      </w:pPr>
      <w:r>
        <w:t xml:space="preserve">Reaffirmed or increased NII/loan guidance</w:t>
      </w:r>
    </w:p>
    <w:p>
      <w:pPr>
        <w:pStyle w:val="Compact"/>
        <w:numPr>
          <w:ilvl w:val="0"/>
          <w:numId w:val="1011"/>
        </w:numPr>
      </w:pPr>
      <w:r>
        <w:t xml:space="preserve">At least $300 million of repurchases</w:t>
      </w:r>
    </w:p>
    <w:bookmarkEnd w:id="23"/>
    <w:bookmarkStart w:id="24" w:name="neutral"/>
    <w:p>
      <w:pPr>
        <w:pStyle w:val="Heading3"/>
      </w:pPr>
      <w:r>
        <w:t xml:space="preserve">Neutral</w:t>
      </w:r>
    </w:p>
    <w:p>
      <w:pPr>
        <w:pStyle w:val="Compact"/>
        <w:numPr>
          <w:ilvl w:val="0"/>
          <w:numId w:val="1012"/>
        </w:numPr>
      </w:pPr>
      <w:r>
        <w:t xml:space="preserve">EPS around the $0.42 consensus</w:t>
      </w:r>
    </w:p>
    <w:p>
      <w:pPr>
        <w:pStyle w:val="Compact"/>
        <w:numPr>
          <w:ilvl w:val="0"/>
          <w:numId w:val="1012"/>
        </w:numPr>
      </w:pPr>
      <w:r>
        <w:t xml:space="preserve">NII and expenses within management’s indicated ranges</w:t>
      </w:r>
    </w:p>
    <w:p>
      <w:pPr>
        <w:pStyle w:val="Compact"/>
        <w:numPr>
          <w:ilvl w:val="0"/>
          <w:numId w:val="1012"/>
        </w:numPr>
      </w:pPr>
      <w:r>
        <w:t xml:space="preserve">Softer fees but intact pipelines</w:t>
      </w:r>
    </w:p>
    <w:p>
      <w:pPr>
        <w:pStyle w:val="Compact"/>
        <w:numPr>
          <w:ilvl w:val="0"/>
          <w:numId w:val="1012"/>
        </w:numPr>
      </w:pPr>
      <w:r>
        <w:t xml:space="preserve">Slight credit migration without increased loss expectations</w:t>
      </w:r>
    </w:p>
    <w:p>
      <w:pPr>
        <w:pStyle w:val="Compact"/>
        <w:numPr>
          <w:ilvl w:val="0"/>
          <w:numId w:val="1012"/>
        </w:numPr>
      </w:pPr>
      <w:r>
        <w:t xml:space="preserve">Full-year guidance reaffirmed</w:t>
      </w:r>
    </w:p>
    <w:bookmarkEnd w:id="24"/>
    <w:bookmarkStart w:id="25" w:name="bearish"/>
    <w:p>
      <w:pPr>
        <w:pStyle w:val="Heading3"/>
      </w:pPr>
      <w:r>
        <w:t xml:space="preserve">Bearish</w:t>
      </w:r>
    </w:p>
    <w:p>
      <w:pPr>
        <w:pStyle w:val="Compact"/>
        <w:numPr>
          <w:ilvl w:val="0"/>
          <w:numId w:val="1013"/>
        </w:numPr>
      </w:pPr>
      <w:r>
        <w:t xml:space="preserve">NIM below 2.90% or reduced confidence in the 3.05% exit target</w:t>
      </w:r>
    </w:p>
    <w:p>
      <w:pPr>
        <w:pStyle w:val="Compact"/>
        <w:numPr>
          <w:ilvl w:val="0"/>
          <w:numId w:val="1013"/>
        </w:numPr>
      </w:pPr>
      <w:r>
        <w:t xml:space="preserve">Material deposit-cost pressure</w:t>
      </w:r>
    </w:p>
    <w:p>
      <w:pPr>
        <w:pStyle w:val="Compact"/>
        <w:numPr>
          <w:ilvl w:val="0"/>
          <w:numId w:val="1013"/>
        </w:numPr>
      </w:pPr>
      <w:r>
        <w:t xml:space="preserve">Investment-banking fees below $175 million</w:t>
      </w:r>
    </w:p>
    <w:p>
      <w:pPr>
        <w:pStyle w:val="Compact"/>
        <w:numPr>
          <w:ilvl w:val="0"/>
          <w:numId w:val="1013"/>
        </w:numPr>
      </w:pPr>
      <w:r>
        <w:t xml:space="preserve">Expenses above the indicated range</w:t>
      </w:r>
    </w:p>
    <w:p>
      <w:pPr>
        <w:pStyle w:val="Compact"/>
        <w:numPr>
          <w:ilvl w:val="0"/>
          <w:numId w:val="1013"/>
        </w:numPr>
      </w:pPr>
      <w:r>
        <w:t xml:space="preserve">Broad-based criticized-loan growth or higher reserve requirements</w:t>
      </w:r>
    </w:p>
    <w:p>
      <w:pPr>
        <w:pStyle w:val="Compact"/>
        <w:numPr>
          <w:ilvl w:val="0"/>
          <w:numId w:val="1013"/>
        </w:numPr>
      </w:pPr>
      <w:r>
        <w:t xml:space="preserve">Slower buybacks despite strong capital</w:t>
      </w:r>
    </w:p>
    <w:p>
      <w:pPr>
        <w:pStyle w:val="Compact"/>
        <w:numPr>
          <w:ilvl w:val="0"/>
          <w:numId w:val="1013"/>
        </w:numPr>
      </w:pPr>
      <w:r>
        <w:t xml:space="preserve">Reduced commercial-loan or NII guidance</w:t>
      </w:r>
    </w:p>
    <w:bookmarkEnd w:id="25"/>
    <w:bookmarkEnd w:id="26"/>
    <w:bookmarkStart w:id="27" w:name="bottom-line"/>
    <w:p>
      <w:pPr>
        <w:pStyle w:val="Heading2"/>
      </w:pPr>
      <w:r>
        <w:t xml:space="preserve">Bottom line</w:t>
      </w:r>
    </w:p>
    <w:p>
      <w:pPr>
        <w:pStyle w:val="FirstParagraph"/>
      </w:pPr>
      <w:r>
        <w:t xml:space="preserve">The quarter is set up for</w:t>
      </w:r>
      <w:r>
        <w:t xml:space="preserve"> </w:t>
      </w:r>
      <w:r>
        <w:rPr>
          <w:b/>
          <w:bCs/>
        </w:rPr>
        <w:t xml:space="preserve">higher revenue but modestly lower EPS than Q1</w:t>
      </w:r>
      <w:r>
        <w:t xml:space="preserve">, as stronger NII is offset by lower investment-banking fees and a step-up in expenses. A result near $0.42 should be viewed as acceptable if it comes with low-2.90s NIM, healthy loan growth and intact full-year guidance.</w:t>
      </w:r>
    </w:p>
    <w:p>
      <w:pPr>
        <w:pStyle w:val="BodyText"/>
      </w:pPr>
      <w:r>
        <w:t xml:space="preserve">The most market-moving outcome is likely to be management’s confidence in the</w:t>
      </w:r>
      <w:r>
        <w:t xml:space="preserve"> </w:t>
      </w:r>
      <w:r>
        <w:rPr>
          <w:b/>
          <w:bCs/>
        </w:rPr>
        <w:t xml:space="preserve">second-half NII trajectory</w:t>
      </w:r>
      <w:r>
        <w:t xml:space="preserve">. If Key can demonstrate that margin expansion, commercial growth and capital return remain on schedule without sacrificing deposit economics or credit quality, the longer-term case for 15%-plus ROTCE should remain intact.</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key.com/press-releases/news-details/2025/KEYCORP-ANNOUNCES-2026-QUARTERLY-EARNINGS-CONFERENCE-CALL-DATES/default.aspx?utm_source=openai" TargetMode="External" /><Relationship Type="http://schemas.openxmlformats.org/officeDocument/2006/relationships/hyperlink" Id="rId20" Target="https://investor.key.com/press-releases/news-details/2026/KEYCORP-DECLARES-QUARTERLY-CASH-DIVIDEND-ON-COMMON-SHARES-AND-PREFERRED-STOCKS-AND-ANNOUNCES-NEW-SHARE-REPURCHASE-PROGRAM/default.aspx?utm_source=openai" TargetMode="External" /><Relationship Type="http://schemas.openxmlformats.org/officeDocument/2006/relationships/hyperlink" Id="rId12" Target="https://investor.key.com/press-releases/news-details/2026/KEYCORP-REPORTS-FIRST-QUARTER-2026-NET-INCOME-OF-486-MILLION-OR-0-44-PER-DILUTED-COMMON-SHARE-INCREASING-33-YEAR-OVER-YEAR/default.aspx?utm_source=openai" TargetMode="External" /><Relationship Type="http://schemas.openxmlformats.org/officeDocument/2006/relationships/hyperlink" Id="rId16" Target="https://investor.key.com/press-releases/news-details/2026/KeyCorp-to-Acquire-Clearwater-UK-Expanding-Financial-Advisory-Capabilities/default.aspx?utm_source=openai" TargetMode="External" /><Relationship Type="http://schemas.openxmlformats.org/officeDocument/2006/relationships/hyperlink" Id="rId10" Target="https://www.benzinga.com/quote/KEY/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key.com/press-releases/news-details/2025/KEYCORP-ANNOUNCES-2026-QUARTERLY-EARNINGS-CONFERENCE-CALL-DATES/default.aspx?utm_source=openai" TargetMode="External" /><Relationship Type="http://schemas.openxmlformats.org/officeDocument/2006/relationships/hyperlink" Id="rId20" Target="https://investor.key.com/press-releases/news-details/2026/KEYCORP-DECLARES-QUARTERLY-CASH-DIVIDEND-ON-COMMON-SHARES-AND-PREFERRED-STOCKS-AND-ANNOUNCES-NEW-SHARE-REPURCHASE-PROGRAM/default.aspx?utm_source=openai" TargetMode="External" /><Relationship Type="http://schemas.openxmlformats.org/officeDocument/2006/relationships/hyperlink" Id="rId12" Target="https://investor.key.com/press-releases/news-details/2026/KEYCORP-REPORTS-FIRST-QUARTER-2026-NET-INCOME-OF-486-MILLION-OR-0-44-PER-DILUTED-COMMON-SHARE-INCREASING-33-YEAR-OVER-YEAR/default.aspx?utm_source=openai" TargetMode="External" /><Relationship Type="http://schemas.openxmlformats.org/officeDocument/2006/relationships/hyperlink" Id="rId16" Target="https://investor.key.com/press-releases/news-details/2026/KeyCorp-to-Acquire-Clearwater-UK-Expanding-Financial-Advisory-Capabilities/default.aspx?utm_source=openai" TargetMode="External" /><Relationship Type="http://schemas.openxmlformats.org/officeDocument/2006/relationships/hyperlink" Id="rId10" Target="https://www.benzinga.com/quote/KEY/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2026-07-21T00:37:53Z</dcterms:created>
  <dcterms:modified xsi:type="dcterms:W3CDTF">2026-07-21T00:37:53Z</dcterms:modified>
</cp:coreProperties>
</file>

<file path=docProps/custom.xml><?xml version="1.0" encoding="utf-8"?>
<Properties xmlns="http://schemas.openxmlformats.org/officeDocument/2006/custom-properties" xmlns:vt="http://schemas.openxmlformats.org/officeDocument/2006/docPropsVTypes"/>
</file>