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key-earnings-predictions--2026-07-21"/>
    <w:p>
      <w:pPr>
        <w:pStyle w:val="Heading1"/>
      </w:pPr>
      <w:r>
        <w:t xml:space="preserve">KEY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KEY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~$0.48 vs. cons $0.47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KEY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Taxable-equivalent net interest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~$1.27B vs. cons $1.25B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KEY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interest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~2.94% vs. cons 2.90%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KEY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net interest income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~9.5% vs. cons 9.2%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KEY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average commercial-loan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~7.0% vs. cons 6.5%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KEY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noninterest-expense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~3.5% vs. cons 3.5%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KEY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common-share repurchases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~$1.30B vs. cons $1.30B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KEY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KEY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+0.6% (FADE)</w:t>
            </w:r>
          </w:p>
        </w:tc>
        <w:tc>
          <w:tcPr/>
          <w:p>
            <w:pPr>
              <w:pStyle w:val="Compact"/>
            </w:pPr>
            <w:r>
              <w:t xml:space="preserve">Day-1 residual ~+1.8% vs. day-5 residual ~+0.6%: an NII/NIM-led beat should initially help, but largely reiterated FY2026 NII, expense, and buyback math limits out-period EPS revisions and encourages partial profit-taking.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2026-07-21T00:38:55Z</dcterms:created>
  <dcterms:modified xsi:type="dcterms:W3CDTF">2026-07-21T00:38:55Z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