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keycorp-nyse-key--2q26-earnings-preview"/>
    <w:p>
      <w:pPr>
        <w:pStyle w:val="Heading1"/>
      </w:pPr>
      <w:r>
        <w:t xml:space="preserve">KeyCorp (NYSE: KEY) — 2Q26 Earnings Preview</w:t>
      </w:r>
    </w:p>
    <w:p>
      <w:pPr>
        <w:pStyle w:val="BlockText"/>
      </w:pPr>
      <w:r>
        <w:rPr>
          <w:b/>
          <w:bCs/>
        </w:rPr>
        <w:t xml:space="preserve">Scheduling note: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July 21, 2026</w:t>
      </w:r>
      <w:r>
        <w:t xml:space="preserve">. The supplied event date is</w:t>
      </w:r>
      <w:r>
        <w:t xml:space="preserve"> </w:t>
      </w:r>
      <w:r>
        <w:rPr>
          <w:b/>
          <w:bCs/>
        </w:rPr>
        <w:t xml:space="preserve">July 21, 2026</w:t>
      </w:r>
      <w:r>
        <w:t xml:space="preserve">, so this preview treats KeyCorp’s 2Q26 earnings call as occurring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 (July 22). No 2Q26 earnings release or call transcript was available in the document feed at the time of research.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Key enters 2Q26 with a favorable fundamental setup: management exited 1Q with</w:t>
      </w:r>
      <w:r>
        <w:t xml:space="preserve"> </w:t>
      </w:r>
      <w:r>
        <w:rPr>
          <w:b/>
          <w:bCs/>
        </w:rPr>
        <w:t xml:space="preserve">improving net interest margin (NIM), accelerating commercial loan growth, solid fee momentum, contained credit losses, and meaningful excess-capital capacity</w:t>
      </w:r>
      <w:r>
        <w:t xml:space="preserve">. The key question for investors is less whether the quarter is profitable and more whether the results validate the upgraded full-year outlook—particularly the path to</w:t>
      </w:r>
      <w:r>
        <w:t xml:space="preserve"> </w:t>
      </w:r>
      <w:r>
        <w:rPr>
          <w:b/>
          <w:bCs/>
        </w:rPr>
        <w:t xml:space="preserve">~3.05% exit NIM</w:t>
      </w:r>
      <w:r>
        <w:t xml:space="preserve">,</w:t>
      </w:r>
      <w:r>
        <w:t xml:space="preserve"> </w:t>
      </w:r>
      <w:r>
        <w:rPr>
          <w:b/>
          <w:bCs/>
        </w:rPr>
        <w:t xml:space="preserve">9–10% full-year NII growth</w:t>
      </w:r>
      <w:r>
        <w:t xml:space="preserve">, and</w:t>
      </w:r>
      <w:r>
        <w:t xml:space="preserve"> </w:t>
      </w:r>
      <w:r>
        <w:rPr>
          <w:b/>
          <w:bCs/>
        </w:rPr>
        <w:t xml:space="preserve">6–8% average commercial-loan growth</w:t>
      </w:r>
      <w:r>
        <w:t xml:space="preserve">.</w:t>
      </w:r>
    </w:p>
    <w:p>
      <w:pPr>
        <w:pStyle w:val="BodyText"/>
      </w:pPr>
      <w:r>
        <w:t xml:space="preserve">The near-term debate should center on whether expected seasonality and a softer investment-banking quarter are offset by continued commercial lending, deposit-cost discipline, and buyback-driven EPS leverage.</w:t>
      </w:r>
    </w:p>
    <w:bookmarkEnd w:id="9"/>
    <w:bookmarkStart w:id="10" w:name="what-matters-most-this-quarter"/>
    <w:p>
      <w:pPr>
        <w:pStyle w:val="Heading2"/>
      </w:pPr>
      <w:r>
        <w:t xml:space="preserve">What matters most this quarter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Focus area</w:t>
            </w:r>
          </w:p>
        </w:tc>
        <w:tc>
          <w:tcPr/>
          <w:p>
            <w:pPr>
              <w:pStyle w:val="Compact"/>
            </w:pPr>
            <w:r>
              <w:t xml:space="preserve">Why it matters</w:t>
            </w:r>
          </w:p>
        </w:tc>
        <w:tc>
          <w:tcPr/>
          <w:p>
            <w:pPr>
              <w:pStyle w:val="Compact"/>
            </w:pPr>
            <w:r>
              <w:t xml:space="preserve">1Q26 baseline / management framing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NII and NIM</w:t>
            </w:r>
          </w:p>
        </w:tc>
        <w:tc>
          <w:tcPr/>
          <w:p>
            <w:pPr>
              <w:pStyle w:val="Compact"/>
            </w:pPr>
            <w:r>
              <w:t xml:space="preserve">The primary earnings driver and the foundation of the 2026 growth story.</w:t>
            </w:r>
          </w:p>
        </w:tc>
        <w:tc>
          <w:tcPr/>
          <w:p>
            <w:pPr>
              <w:pStyle w:val="Compact"/>
            </w:pPr>
            <w:r>
              <w:t xml:space="preserve">1Q taxable-equivalent NII was</w:t>
            </w:r>
            <w:r>
              <w:t xml:space="preserve"> </w:t>
            </w:r>
            <w:r>
              <w:rPr>
                <w:b/>
                <w:bCs/>
              </w:rPr>
              <w:t xml:space="preserve">$1.23B</w:t>
            </w:r>
            <w:r>
              <w:t xml:space="preserve">, up 1% QoQ and 11% YoY; NIM was</w:t>
            </w:r>
            <w:r>
              <w:t xml:space="preserve"> </w:t>
            </w:r>
            <w:r>
              <w:rPr>
                <w:b/>
                <w:bCs/>
              </w:rPr>
              <w:t xml:space="preserve">2.87%</w:t>
            </w:r>
            <w:r>
              <w:t xml:space="preserve">, up 5 bps QoQ. Key guided to approximately</w:t>
            </w:r>
            <w:r>
              <w:t xml:space="preserve"> </w:t>
            </w:r>
            <w:r>
              <w:rPr>
                <w:b/>
                <w:bCs/>
              </w:rPr>
              <w:t xml:space="preserve">3.05% exit NIM</w:t>
            </w:r>
            <w:r>
              <w:t xml:space="preserve"> </w:t>
            </w:r>
            <w:r>
              <w:t xml:space="preserve">for 2026.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Commercial loan growth</w:t>
            </w:r>
          </w:p>
        </w:tc>
        <w:tc>
          <w:tcPr/>
          <w:p>
            <w:pPr>
              <w:pStyle w:val="Compact"/>
            </w:pPr>
            <w:r>
              <w:t xml:space="preserve">Determines whether asset mix and funding capacity can sustain NII expansion.</w:t>
            </w:r>
          </w:p>
        </w:tc>
        <w:tc>
          <w:tcPr/>
          <w:p>
            <w:pPr>
              <w:pStyle w:val="Compact"/>
            </w:pPr>
            <w:r>
              <w:t xml:space="preserve">Period-end commercial loans grew</w:t>
            </w:r>
            <w:r>
              <w:t xml:space="preserve"> </w:t>
            </w:r>
            <w:r>
              <w:rPr>
                <w:b/>
                <w:bCs/>
              </w:rPr>
              <w:t xml:space="preserve">$3.3B QoQ</w:t>
            </w:r>
            <w:r>
              <w:t xml:space="preserve"> </w:t>
            </w:r>
            <w:r>
              <w:t xml:space="preserve">in 1Q; average commercial loans were guided to grow</w:t>
            </w:r>
            <w:r>
              <w:t xml:space="preserve"> </w:t>
            </w:r>
            <w:r>
              <w:rPr>
                <w:b/>
                <w:bCs/>
              </w:rPr>
              <w:t xml:space="preserve">6–8%</w:t>
            </w:r>
            <w:r>
              <w:t xml:space="preserve"> </w:t>
            </w:r>
            <w:r>
              <w:t xml:space="preserve">in 2026.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Deposit trends and costs</w:t>
            </w:r>
          </w:p>
        </w:tc>
        <w:tc>
          <w:tcPr/>
          <w:p>
            <w:pPr>
              <w:pStyle w:val="Compact"/>
            </w:pPr>
            <w:r>
              <w:t xml:space="preserve">Deposit repricing has been central to margin expansion; the expected seasonal trough should now be past.</w:t>
            </w:r>
          </w:p>
        </w:tc>
        <w:tc>
          <w:tcPr/>
          <w:p>
            <w:pPr>
              <w:pStyle w:val="Compact"/>
            </w:pPr>
            <w:r>
              <w:t xml:space="preserve">Total deposit cost fell</w:t>
            </w:r>
            <w:r>
              <w:t xml:space="preserve"> </w:t>
            </w:r>
            <w:r>
              <w:rPr>
                <w:b/>
                <w:bCs/>
              </w:rPr>
              <w:t xml:space="preserve">16 bps QoQ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b/>
                <w:bCs/>
              </w:rPr>
              <w:t xml:space="preserve">1.65%</w:t>
            </w:r>
            <w:r>
              <w:t xml:space="preserve"> </w:t>
            </w:r>
            <w:r>
              <w:t xml:space="preserve">in 1Q. Management expected deposits to trough around early/mid-May and build through year-end.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Investment banking and fees</w:t>
            </w:r>
          </w:p>
        </w:tc>
        <w:tc>
          <w:tcPr/>
          <w:p>
            <w:pPr>
              <w:pStyle w:val="Compact"/>
            </w:pPr>
            <w:r>
              <w:t xml:space="preserve">A record 1Q creates a tough comparison; the fee outlook is crucial for operating leverage.</w:t>
            </w:r>
          </w:p>
        </w:tc>
        <w:tc>
          <w:tcPr/>
          <w:p>
            <w:pPr>
              <w:pStyle w:val="Compact"/>
            </w:pPr>
            <w:r>
              <w:t xml:space="preserve">1Q investment-banking/debt-placement fees were</w:t>
            </w:r>
            <w:r>
              <w:t xml:space="preserve"> </w:t>
            </w:r>
            <m:oMath>
              <m:r>
                <m:t>197</m:t>
              </m:r>
              <m:r>
                <m:t>M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;</m:t>
              </m:r>
              <m:r>
                <m:t>m</m:t>
              </m:r>
              <m:r>
                <m:t>a</m:t>
              </m:r>
              <m:r>
                <m:t>n</m:t>
              </m:r>
              <m:r>
                <m:t>a</m:t>
              </m:r>
              <m:r>
                <m:t>g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</m:oMath>
            <w:r>
              <w:rPr>
                <w:b/>
                <w:bCs/>
              </w:rPr>
              <w:t xml:space="preserve">175–180M in 2Q</w:t>
            </w:r>
            <w:r>
              <w:t xml:space="preserve">, while retaining a mid-single-digit full-year growth outlook.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Credit and private credit</w:t>
            </w:r>
          </w:p>
        </w:tc>
        <w:tc>
          <w:tcPr/>
          <w:p>
            <w:pPr>
              <w:pStyle w:val="Compact"/>
            </w:pPr>
            <w:r>
              <w:t xml:space="preserve">Credit remains benign, but investors will scrutinize NPL migration, CRE, specialty finance, and private-credit exposures.</w:t>
            </w:r>
          </w:p>
        </w:tc>
        <w:tc>
          <w:tcPr/>
          <w:p>
            <w:pPr>
              <w:pStyle w:val="Compact"/>
            </w:pPr>
            <w:r>
              <w:t xml:space="preserve">Net charge-offs were</w:t>
            </w:r>
            <w:r>
              <w:t xml:space="preserve"> </w:t>
            </w:r>
            <w:r>
              <w:rPr>
                <w:b/>
                <w:bCs/>
              </w:rPr>
              <w:t xml:space="preserve">38 bps</w:t>
            </w:r>
            <w:r>
              <w:t xml:space="preserve"> </w:t>
            </w:r>
            <w:r>
              <w:t xml:space="preserve">of average loans; NPAs were</w:t>
            </w:r>
            <w:r>
              <w:t xml:space="preserve"> </w:t>
            </w:r>
            <w:r>
              <w:rPr>
                <w:b/>
                <w:bCs/>
              </w:rPr>
              <w:t xml:space="preserve">63 bps</w:t>
            </w:r>
            <w:r>
              <w:t xml:space="preserve">, though NPLs increased to</w:t>
            </w:r>
            <w:r>
              <w:t xml:space="preserve"> </w:t>
            </w:r>
            <w:r>
              <w:rPr>
                <w:b/>
                <w:bCs/>
              </w:rPr>
              <w:t xml:space="preserve">$682M</w:t>
            </w:r>
            <w:r>
              <w:t xml:space="preserve"> </w:t>
            </w:r>
            <w:r>
              <w:t xml:space="preserve">from $615M sequentially.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Capital return</w:t>
            </w:r>
          </w:p>
        </w:tc>
        <w:tc>
          <w:tcPr/>
          <w:p>
            <w:pPr>
              <w:pStyle w:val="Compact"/>
            </w:pPr>
            <w:r>
              <w:t xml:space="preserve">Buybacks can materially aid EPS and reinforce the return-on-capital narrative.</w:t>
            </w:r>
          </w:p>
        </w:tc>
        <w:tc>
          <w:tcPr/>
          <w:p>
            <w:pPr>
              <w:pStyle w:val="Compact"/>
            </w:pPr>
            <w:r>
              <w:t xml:space="preserve">Key repurchased</w:t>
            </w:r>
            <w:r>
              <w:t xml:space="preserve"> </w:t>
            </w:r>
            <m:oMath>
              <m:r>
                <m:t>389</m:t>
              </m:r>
              <m:r>
                <m:t>M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  <m:r>
                <m:t>i</m:t>
              </m:r>
              <m:r>
                <m:t>n</m:t>
              </m:r>
              <m:r>
                <m:t>1</m:t>
              </m:r>
              <m:r>
                <m:t>Q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s</m:t>
              </m:r>
              <m:r>
                <m:t>a</m:t>
              </m:r>
              <m:r>
                <m:t>t</m:t>
              </m:r>
              <m:r>
                <m:t>l</m:t>
              </m:r>
              <m:r>
                <m:t>e</m:t>
              </m:r>
              <m:r>
                <m:t>a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*</m:t>
              </m:r>
              <m:r>
                <m:rPr>
                  <m:sty m:val="p"/>
                </m:rPr>
                <m:t>*</m:t>
              </m:r>
            </m:oMath>
            <w:r>
              <w:rPr>
                <w:b/>
                <w:bCs/>
              </w:rPr>
              <w:t xml:space="preserve">1.3B</w:t>
            </w:r>
            <w:r>
              <w:t xml:space="preserve"> </w:t>
            </w:r>
            <w:r>
              <w:t xml:space="preserve">in 2026 buybacks, and has a newly authorized</w:t>
            </w:r>
            <w:r>
              <w:t xml:space="preserve"> </w:t>
            </w:r>
            <w:r>
              <w:rPr>
                <w:b/>
                <w:bCs/>
              </w:rPr>
              <w:t xml:space="preserve">$3B</w:t>
            </w:r>
            <w:r>
              <w:t xml:space="preserve"> </w:t>
            </w:r>
            <w:r>
              <w:t xml:space="preserve">repurchase program.</w:t>
            </w:r>
          </w:p>
        </w:tc>
      </w:tr>
    </w:tbl>
    <w:bookmarkEnd w:id="10"/>
    <w:bookmarkStart w:id="11" w:name="X7767559043562130e7f823217b2f9c994e7bb97"/>
    <w:p>
      <w:pPr>
        <w:pStyle w:val="Heading2"/>
      </w:pPr>
      <w:r>
        <w:t xml:space="preserve">The core setup: execution versus raised expectations</w:t>
      </w:r>
    </w:p>
    <w:p>
      <w:pPr>
        <w:pStyle w:val="FirstParagraph"/>
      </w:pPr>
      <w:r>
        <w:t xml:space="preserve">Key’s 1Q results showed a business gaining operating leverage: taxable-equivalent revenue rose</w:t>
      </w:r>
      <w:r>
        <w:t xml:space="preserve"> </w:t>
      </w:r>
      <w:r>
        <w:rPr>
          <w:b/>
          <w:bCs/>
        </w:rPr>
        <w:t xml:space="preserve">10% YoY</w:t>
      </w:r>
      <w:r>
        <w:t xml:space="preserve">, versus noninterest-expense growth of</w:t>
      </w:r>
      <w:r>
        <w:t xml:space="preserve"> </w:t>
      </w:r>
      <w:r>
        <w:rPr>
          <w:b/>
          <w:bCs/>
        </w:rPr>
        <w:t xml:space="preserve">4%</w:t>
      </w:r>
      <w:r>
        <w:t xml:space="preserve">, producing a</w:t>
      </w:r>
      <w:r>
        <w:t xml:space="preserve"> </w:t>
      </w:r>
      <w:r>
        <w:rPr>
          <w:b/>
          <w:bCs/>
        </w:rPr>
        <w:t xml:space="preserve">13.0% ROTCE</w:t>
      </w:r>
      <w:r>
        <w:t xml:space="preserve"> </w:t>
      </w:r>
      <w:r>
        <w:t xml:space="preserve">and a cash efficiency ratio of</w:t>
      </w:r>
      <w:r>
        <w:t xml:space="preserve"> </w:t>
      </w:r>
      <w:r>
        <w:rPr>
          <w:b/>
          <w:bCs/>
        </w:rPr>
        <w:t xml:space="preserve">60.4%</w:t>
      </w:r>
      <w:r>
        <w:t xml:space="preserve">. Management’s longer-term objective remains a</w:t>
      </w:r>
      <w:r>
        <w:t xml:space="preserve"> </w:t>
      </w:r>
      <w:r>
        <w:rPr>
          <w:b/>
          <w:bCs/>
        </w:rPr>
        <w:t xml:space="preserve">15%+ ROTCE by year-end 2027</w:t>
      </w:r>
      <w:r>
        <w:t xml:space="preserve">.</w:t>
      </w:r>
    </w:p>
    <w:p>
      <w:pPr>
        <w:pStyle w:val="BodyText"/>
      </w:pPr>
      <w:r>
        <w:t xml:space="preserve">For 2Q, the most important confirmation points are: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Margin continues higher despite a stable-rate environment.</w:t>
      </w:r>
      <w:r>
        <w:br/>
      </w:r>
      <w:r>
        <w:t xml:space="preserve">Management’s base case entering 2Q assumed no rate cuts. The 1Q NIM expansion was driven by lower deposit costs, loan remixing toward commercial lending, and swap/securities reinvestment. A further step up in NIM would reinforce the credibility of the 3.05% exit-rate objective; flat or lower NIM would be the clearest challenge to the current thesis.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Commercial loan growth remains broad-based.</w:t>
      </w:r>
      <w:r>
        <w:br/>
      </w:r>
      <w:r>
        <w:t xml:space="preserve">Key reported particularly strong 1Q C&amp;I growth, supported by financial services, utilities/power/renewables, institutional lending, and middle-market activity. Management also cited healthy pipelines and higher utilization. Investors should distinguish genuine end-client demand from temporary balances or loans subsequently syndicated.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Deposit growth resumes without sacrificing pricing.</w:t>
      </w:r>
      <w:r>
        <w:br/>
      </w:r>
      <w:r>
        <w:t xml:space="preserve">Average deposits fell 2.3% QoQ in 1Q, reflecting seasonal outflows and intentional runoff of higher-cost brokered CDs. The expected 2Q rebound is important: it would demonstrate that Key can fund commercial growth with client deposits rather than materially increasing marginal funding costs.</w:t>
      </w:r>
    </w:p>
    <w:bookmarkEnd w:id="11"/>
    <w:bookmarkStart w:id="12" w:name="Xcdd292c016e740cb94b39cf8a905654c35731d6"/>
    <w:p>
      <w:pPr>
        <w:pStyle w:val="Heading2"/>
      </w:pPr>
      <w:r>
        <w:t xml:space="preserve">Fees: likely mixed quarter, but the full-year outlook is more important</w:t>
      </w:r>
    </w:p>
    <w:p>
      <w:pPr>
        <w:pStyle w:val="FirstParagraph"/>
      </w:pPr>
      <w:r>
        <w:t xml:space="preserve">The expected sequential decline in investment-banking fees is not necessarily a negative surprise: management explicitly guided to</w:t>
      </w:r>
      <w:r>
        <w:t xml:space="preserve"> </w:t>
      </w:r>
      <m:oMath>
        <m:r>
          <m:t>175</m:t>
        </m:r>
        <m:r>
          <m:rPr>
            <m:sty m:val="p"/>
          </m:rPr>
          <m:t>–</m:t>
        </m:r>
        <m:r>
          <m:t>180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o</m:t>
        </m:r>
        <m:r>
          <m:t>r</m:t>
        </m:r>
        <m:r>
          <m:t>2</m:t>
        </m:r>
        <m:r>
          <m:t>Q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a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197M</w:t>
      </w:r>
      <w:r>
        <w:t xml:space="preserve"> </w:t>
      </w:r>
      <w:r>
        <w:t xml:space="preserve">in 1Q. The more meaningful issue is whether the firm retains confidence in its mid-single-digit 2026 investment-banking growth target.</w:t>
      </w:r>
    </w:p>
    <w:p>
      <w:pPr>
        <w:pStyle w:val="BodyText"/>
      </w:pPr>
      <w:r>
        <w:t xml:space="preserve">Areas likely to support broader fee income include: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Wealth/trust:</w:t>
      </w:r>
      <w:r>
        <w:t xml:space="preserve"> </w:t>
      </w:r>
      <w:r>
        <w:t xml:space="preserve">1Q trust and investment-services income grew</w:t>
      </w:r>
      <w:r>
        <w:t xml:space="preserve"> </w:t>
      </w:r>
      <w:r>
        <w:rPr>
          <w:b/>
          <w:bCs/>
        </w:rPr>
        <w:t xml:space="preserve">13% YoY</w:t>
      </w:r>
      <w:r>
        <w:t xml:space="preserve">, aided by net flows and market values.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Commercial payments:</w:t>
      </w:r>
      <w:r>
        <w:t xml:space="preserve"> </w:t>
      </w:r>
      <w:r>
        <w:t xml:space="preserve">Management described continued strong payments growth, with fee-equivalent revenue up</w:t>
      </w:r>
      <w:r>
        <w:t xml:space="preserve"> </w:t>
      </w:r>
      <w:r>
        <w:rPr>
          <w:b/>
          <w:bCs/>
        </w:rPr>
        <w:t xml:space="preserve">11% YoY</w:t>
      </w:r>
      <w:r>
        <w:t xml:space="preserve"> </w:t>
      </w:r>
      <w:r>
        <w:t xml:space="preserve">in 1Q.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Corporate services:</w:t>
      </w:r>
      <w:r>
        <w:t xml:space="preserve"> </w:t>
      </w:r>
      <w:r>
        <w:t xml:space="preserve">FX, derivatives, and loan-commitment fees can benefit from client activity and volatility.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Commercial mortgage servicing:</w:t>
      </w:r>
      <w:r>
        <w:t xml:space="preserve"> </w:t>
      </w:r>
      <w:r>
        <w:t xml:space="preserve">This remains a headwind. Key expects quarterly servicing fees of roughly</w:t>
      </w:r>
      <w:r>
        <w:t xml:space="preserve"> </w:t>
      </w:r>
      <w:r>
        <w:rPr>
          <w:b/>
          <w:bCs/>
        </w:rPr>
        <w:t xml:space="preserve">$50–60M</w:t>
      </w:r>
      <w:r>
        <w:t xml:space="preserve"> </w:t>
      </w:r>
      <w:r>
        <w:t xml:space="preserve">for the balance of 2026, below the $62M reported in 1Q.</w:t>
      </w:r>
    </w:p>
    <w:p>
      <w:pPr>
        <w:pStyle w:val="FirstParagraph"/>
      </w:pPr>
      <w:r>
        <w:t xml:space="preserve">A constructive 2Q outcome would be an investment-banking result near the guided range, paired with continued high-single-digit or better momentum in wealth and payments.</w:t>
      </w:r>
    </w:p>
    <w:bookmarkEnd w:id="12"/>
    <w:bookmarkStart w:id="13" w:name="Xa403b4f8cb42801cde66b8de5d17cca2acbd7f8"/>
    <w:p>
      <w:pPr>
        <w:pStyle w:val="Heading2"/>
      </w:pPr>
      <w:r>
        <w:t xml:space="preserve">Credit: still sound, but the direction of nonperformers deserves attention</w:t>
      </w:r>
    </w:p>
    <w:p>
      <w:pPr>
        <w:pStyle w:val="FirstParagraph"/>
      </w:pPr>
      <w:r>
        <w:t xml:space="preserve">Credit was solid in 1Q: net charge-offs were</w:t>
      </w:r>
      <w:r>
        <w:t xml:space="preserve"> </w:t>
      </w:r>
      <w:r>
        <w:rPr>
          <w:b/>
          <w:bCs/>
        </w:rPr>
        <w:t xml:space="preserve">$101M</w:t>
      </w:r>
      <w:r>
        <w:t xml:space="preserve">, or</w:t>
      </w:r>
      <w:r>
        <w:t xml:space="preserve"> </w:t>
      </w:r>
      <w:r>
        <w:rPr>
          <w:b/>
          <w:bCs/>
        </w:rPr>
        <w:t xml:space="preserve">38 bps</w:t>
      </w:r>
      <w:r>
        <w:t xml:space="preserve">, down from 43 bps a year earlier. Allowance for credit losses stood at</w:t>
      </w:r>
      <w:r>
        <w:t xml:space="preserve"> </w:t>
      </w:r>
      <w:r>
        <w:rPr>
          <w:b/>
          <w:bCs/>
        </w:rPr>
        <w:t xml:space="preserve">1.60% of period-end loans</w:t>
      </w:r>
      <w:r>
        <w:t xml:space="preserve">, and management characterized the 1Q reserve build as largely precautionary amid macro uncertainty.</w:t>
      </w:r>
    </w:p>
    <w:p>
      <w:pPr>
        <w:pStyle w:val="BodyText"/>
      </w:pPr>
      <w:r>
        <w:t xml:space="preserve">However, nonperforming loans rose</w:t>
      </w:r>
      <w:r>
        <w:t xml:space="preserve"> </w:t>
      </w:r>
      <m:oMath>
        <m:r>
          <m:t>67</m:t>
        </m:r>
        <m:r>
          <m:t>M</m:t>
        </m:r>
        <m:r>
          <m:t>s</m:t>
        </m:r>
        <m:r>
          <m:t>e</m:t>
        </m:r>
        <m:r>
          <m:t>q</m:t>
        </m:r>
        <m:r>
          <m:t>u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682M</w:t>
      </w:r>
      <w:r>
        <w:t xml:space="preserve">, driven by two credits in utilities and multifamily real estate. Management characterized these as idiosyncratic and said it expected resolutions in coming quarters, but investors should monitor:</w:t>
      </w:r>
    </w:p>
    <w:p>
      <w:pPr>
        <w:pStyle w:val="Compact"/>
        <w:numPr>
          <w:ilvl w:val="0"/>
          <w:numId w:val="1003"/>
        </w:numPr>
      </w:pPr>
      <w:r>
        <w:t xml:space="preserve">Further NPL inflows, particularly in</w:t>
      </w:r>
      <w:r>
        <w:t xml:space="preserve"> </w:t>
      </w:r>
      <w:r>
        <w:rPr>
          <w:b/>
          <w:bCs/>
        </w:rPr>
        <w:t xml:space="preserve">commercial real estate and C&amp;I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Net charge-off trends in the commercial book;</w:t>
      </w:r>
    </w:p>
    <w:p>
      <w:pPr>
        <w:pStyle w:val="Compact"/>
        <w:numPr>
          <w:ilvl w:val="0"/>
          <w:numId w:val="1003"/>
        </w:numPr>
      </w:pPr>
      <w:r>
        <w:t xml:space="preserve">Criticized/classified loan migration;</w:t>
      </w:r>
    </w:p>
    <w:p>
      <w:pPr>
        <w:pStyle w:val="Compact"/>
        <w:numPr>
          <w:ilvl w:val="0"/>
          <w:numId w:val="1003"/>
        </w:numPr>
      </w:pPr>
      <w:r>
        <w:t xml:space="preserve">Commentary on</w:t>
      </w:r>
      <w:r>
        <w:t xml:space="preserve"> </w:t>
      </w:r>
      <w:r>
        <w:rPr>
          <w:b/>
          <w:bCs/>
        </w:rPr>
        <w:t xml:space="preserve">transportation, energy, consumer-discretionary, agriculture, and healthcare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Any change in reserve posture.</w:t>
      </w:r>
    </w:p>
    <w:p>
      <w:pPr>
        <w:pStyle w:val="FirstParagraph"/>
      </w:pPr>
      <w:r>
        <w:t xml:space="preserve">Private credit and non-depository financial institution exposure will also be in focus. Key disclosed approximately</w:t>
      </w:r>
      <w:r>
        <w:t xml:space="preserve"> </w:t>
      </w:r>
      <w:r>
        <w:rPr>
          <w:b/>
          <w:bCs/>
        </w:rPr>
        <w:t xml:space="preserve">$10.9B</w:t>
      </w:r>
      <w:r>
        <w:t xml:space="preserve"> </w:t>
      </w:r>
      <w:r>
        <w:t xml:space="preserve">of private-credit-related outstandings at March 31, with about 70% in specialty-finance lending. Management emphasized that the specialty-finance portfolio is predominantly investment grade and structurally protected, but this is an area where investors will want updated performance, concentration, and criticized-asset disclosures.</w:t>
      </w:r>
    </w:p>
    <w:bookmarkEnd w:id="13"/>
    <w:bookmarkStart w:id="14" w:name="X7a931b0d6b857b4781828e8abfd43639c583c36"/>
    <w:p>
      <w:pPr>
        <w:pStyle w:val="Heading2"/>
      </w:pPr>
      <w:r>
        <w:t xml:space="preserve">Capital return is a meaningful upside lever</w:t>
      </w:r>
    </w:p>
    <w:p>
      <w:pPr>
        <w:pStyle w:val="FirstParagraph"/>
      </w:pPr>
      <w:r>
        <w:t xml:space="preserve">Capital is an underappreciated component of the setup. Key’s CET1 ratio was</w:t>
      </w:r>
      <w:r>
        <w:t xml:space="preserve"> </w:t>
      </w:r>
      <w:r>
        <w:rPr>
          <w:b/>
          <w:bCs/>
        </w:rPr>
        <w:t xml:space="preserve">11.4%</w:t>
      </w:r>
      <w:r>
        <w:t xml:space="preserve"> </w:t>
      </w:r>
      <w:r>
        <w:t xml:space="preserve">at March 31, while marked CET1 was</w:t>
      </w:r>
      <w:r>
        <w:t xml:space="preserve"> </w:t>
      </w:r>
      <w:r>
        <w:rPr>
          <w:b/>
          <w:bCs/>
        </w:rPr>
        <w:t xml:space="preserve">10.0%</w:t>
      </w:r>
      <w:r>
        <w:t xml:space="preserve">. Management intends to operate at a marked CET1 ratio of roughly</w:t>
      </w:r>
      <w:r>
        <w:t xml:space="preserve"> </w:t>
      </w:r>
      <w:r>
        <w:rPr>
          <w:b/>
          <w:bCs/>
        </w:rPr>
        <w:t xml:space="preserve">9.5–10.0%</w:t>
      </w:r>
      <w:r>
        <w:t xml:space="preserve"> </w:t>
      </w:r>
      <w:r>
        <w:t xml:space="preserve">under current rules and has indicated that prospective Basel changes could provide additional flexibility.</w:t>
      </w:r>
    </w:p>
    <w:p>
      <w:pPr>
        <w:pStyle w:val="BodyText"/>
      </w:pPr>
      <w:r>
        <w:t xml:space="preserve">The company:</w:t>
      </w:r>
    </w:p>
    <w:p>
      <w:pPr>
        <w:pStyle w:val="Compact"/>
        <w:numPr>
          <w:ilvl w:val="0"/>
          <w:numId w:val="1004"/>
        </w:numPr>
      </w:pPr>
      <w:r>
        <w:t xml:space="preserve">Repurchased</w:t>
      </w:r>
      <w:r>
        <w:t xml:space="preserve"> </w:t>
      </w:r>
      <w:r>
        <w:rPr>
          <w:b/>
          <w:bCs/>
        </w:rPr>
        <w:t xml:space="preserve">$389M</w:t>
      </w:r>
      <w:r>
        <w:t xml:space="preserve"> </w:t>
      </w:r>
      <w:r>
        <w:t xml:space="preserve">in 1Q;</w:t>
      </w:r>
    </w:p>
    <w:p>
      <w:pPr>
        <w:pStyle w:val="Compact"/>
        <w:numPr>
          <w:ilvl w:val="0"/>
          <w:numId w:val="1004"/>
        </w:numPr>
      </w:pPr>
      <w:r>
        <w:t xml:space="preserve">Expects to buy back</w:t>
      </w:r>
      <w:r>
        <w:t xml:space="preserve"> </w:t>
      </w:r>
      <w:r>
        <w:rPr>
          <w:b/>
          <w:bCs/>
        </w:rPr>
        <w:t xml:space="preserve">at least $300M per quarter</w:t>
      </w:r>
      <w:r>
        <w:t xml:space="preserve"> </w:t>
      </w:r>
      <w:r>
        <w:t xml:space="preserve">for the rest of 2026;</w:t>
      </w:r>
    </w:p>
    <w:p>
      <w:pPr>
        <w:pStyle w:val="Compact"/>
        <w:numPr>
          <w:ilvl w:val="0"/>
          <w:numId w:val="1004"/>
        </w:numPr>
      </w:pPr>
      <w:r>
        <w:t xml:space="preserve">Raised its full-year repurchase expectation to</w:t>
      </w:r>
      <w:r>
        <w:t xml:space="preserve"> </w:t>
      </w:r>
      <w:r>
        <w:rPr>
          <w:b/>
          <w:bCs/>
        </w:rPr>
        <w:t xml:space="preserve">at least $1.3B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Received board authorization in May for a new</w:t>
      </w:r>
      <w:r>
        <w:t xml:space="preserve"> </w:t>
      </w:r>
      <w:r>
        <w:rPr>
          <w:b/>
          <w:bCs/>
        </w:rPr>
        <w:t xml:space="preserve">$3B</w:t>
      </w:r>
      <w:r>
        <w:t xml:space="preserve"> </w:t>
      </w:r>
      <w:r>
        <w:t xml:space="preserve">share-repurchase program.</w:t>
      </w:r>
    </w:p>
    <w:p>
      <w:pPr>
        <w:pStyle w:val="FirstParagraph"/>
      </w:pPr>
      <w:r>
        <w:t xml:space="preserve">A sustained repurchase cadence, particularly if tangible book value and capital ratios remain resilient, supports EPS growth even if operating conditions become less favorable.</w:t>
      </w:r>
    </w:p>
    <w:bookmarkEnd w:id="14"/>
    <w:bookmarkStart w:id="15" w:name="share-price-context"/>
    <w:p>
      <w:pPr>
        <w:pStyle w:val="Heading2"/>
      </w:pPr>
      <w:r>
        <w:t xml:space="preserve">Share-price context</w:t>
      </w:r>
    </w:p>
    <w:p>
      <w:pPr>
        <w:pStyle w:val="FirstParagraph"/>
      </w:pPr>
      <w:r>
        <w:t xml:space="preserve">KEY closed at</w:t>
      </w:r>
      <w:r>
        <w:t xml:space="preserve"> </w:t>
      </w:r>
      <m:oMath>
        <m:r>
          <m:t>23.33</m:t>
        </m:r>
        <m:r>
          <m:t>o</m:t>
        </m:r>
        <m:r>
          <m:t>n</m:t>
        </m:r>
        <m:r>
          <m:t>J</m:t>
        </m:r>
        <m:r>
          <m:t>u</m:t>
        </m:r>
        <m:r>
          <m:t>l</m:t>
        </m:r>
        <m:r>
          <m:t>y</m:t>
        </m:r>
        <m:r>
          <m:t>20</m:t>
        </m:r>
        <m:r>
          <m:rPr>
            <m:sty m:val="p"/>
          </m:rPr>
          <m:t>,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v</m:t>
        </m:r>
        <m:r>
          <m:t>e</m:t>
        </m:r>
        <m:r>
          <m:t>r</m:t>
        </m:r>
        <m:r>
          <m:t>s</m:t>
        </m:r>
        <m:r>
          <m:t>u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21.57 on April 15</w:t>
      </w:r>
      <w:r>
        <w:t xml:space="preserve">, immediately before the 1Q26 report—an increase of roughly</w:t>
      </w:r>
      <w:r>
        <w:t xml:space="preserve"> </w:t>
      </w:r>
      <w:r>
        <w:rPr>
          <w:b/>
          <w:bCs/>
        </w:rPr>
        <w:t xml:space="preserve">8.2%</w:t>
      </w:r>
      <w:r>
        <w:t xml:space="preserve">. Over the same period, the SPDR S&amp;P Regional Banking ETF (</w:t>
      </w:r>
      <w:r>
        <w:rPr>
          <w:b/>
          <w:bCs/>
        </w:rPr>
        <w:t xml:space="preserve">KRE</w:t>
      </w:r>
      <w:r>
        <w:t xml:space="preserve">) rose about</w:t>
      </w:r>
      <w:r>
        <w:t xml:space="preserve"> </w:t>
      </w:r>
      <w:r>
        <w:rPr>
          <w:b/>
          <w:bCs/>
        </w:rPr>
        <w:t xml:space="preserve">9.7%</w:t>
      </w:r>
      <w:r>
        <w:t xml:space="preserve">. That modest relative underperformance suggests the stock has participated in the regional-bank recovery but may still require proof of company-specific execution—especially margin delivery, fee durability, and capital return—to outperform.</w:t>
      </w:r>
    </w:p>
    <w:bookmarkEnd w:id="15"/>
    <w:bookmarkStart w:id="16" w:name="what-would-make-the-report-bullish"/>
    <w:p>
      <w:pPr>
        <w:pStyle w:val="Heading2"/>
      </w:pPr>
      <w:r>
        <w:t xml:space="preserve">What would make the report bullish?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NIM expansion</w:t>
      </w:r>
      <w:r>
        <w:t xml:space="preserve"> </w:t>
      </w:r>
      <w:r>
        <w:t xml:space="preserve">that keeps Key convincingly on track toward ~3.05% by year-end.</w:t>
      </w:r>
    </w:p>
    <w:p>
      <w:pPr>
        <w:pStyle w:val="Compact"/>
        <w:numPr>
          <w:ilvl w:val="0"/>
          <w:numId w:val="1005"/>
        </w:numPr>
      </w:pPr>
      <w:r>
        <w:t xml:space="preserve">Commercial-loan growth that remains broad based and supports the</w:t>
      </w:r>
      <w:r>
        <w:t xml:space="preserve"> </w:t>
      </w:r>
      <w:r>
        <w:rPr>
          <w:b/>
          <w:bCs/>
        </w:rPr>
        <w:t xml:space="preserve">6–8%</w:t>
      </w:r>
      <w:r>
        <w:t xml:space="preserve"> </w:t>
      </w:r>
      <w:r>
        <w:t xml:space="preserve">full-year average commercial-loan target.</w:t>
      </w:r>
    </w:p>
    <w:p>
      <w:pPr>
        <w:pStyle w:val="Compact"/>
        <w:numPr>
          <w:ilvl w:val="0"/>
          <w:numId w:val="1005"/>
        </w:numPr>
      </w:pPr>
      <w:r>
        <w:t xml:space="preserve">Deposit balances rebuilding while deposit costs stay controlled.</w:t>
      </w:r>
    </w:p>
    <w:p>
      <w:pPr>
        <w:pStyle w:val="Compact"/>
        <w:numPr>
          <w:ilvl w:val="0"/>
          <w:numId w:val="1005"/>
        </w:numPr>
      </w:pPr>
      <w:r>
        <w:t xml:space="preserve">Investment-banking fees around or above the</w:t>
      </w:r>
      <w:r>
        <w:t xml:space="preserve"> </w:t>
      </w:r>
      <w:r>
        <w:rPr>
          <w:b/>
          <w:bCs/>
        </w:rPr>
        <w:t xml:space="preserve">$175–180M</w:t>
      </w:r>
      <w:r>
        <w:t xml:space="preserve"> </w:t>
      </w:r>
      <w:r>
        <w:t xml:space="preserve">2Q planning range, with unchanged or improved full-year commentary.</w:t>
      </w:r>
    </w:p>
    <w:p>
      <w:pPr>
        <w:pStyle w:val="Compact"/>
        <w:numPr>
          <w:ilvl w:val="0"/>
          <w:numId w:val="1005"/>
        </w:numPr>
      </w:pPr>
      <w:r>
        <w:t xml:space="preserve">Stable charge-offs and no broader deterioration in criticized loans, CRE, or private-credit exposures.</w:t>
      </w:r>
    </w:p>
    <w:p>
      <w:pPr>
        <w:pStyle w:val="Compact"/>
        <w:numPr>
          <w:ilvl w:val="0"/>
          <w:numId w:val="1005"/>
        </w:numPr>
      </w:pPr>
      <w:r>
        <w:t xml:space="preserve">Continued buybacks at or above the implied</w:t>
      </w:r>
      <w:r>
        <w:t xml:space="preserve"> </w:t>
      </w:r>
      <w:r>
        <w:rPr>
          <w:b/>
          <w:bCs/>
        </w:rPr>
        <w:t xml:space="preserve">$300M quarterly</w:t>
      </w:r>
      <w:r>
        <w:t xml:space="preserve"> </w:t>
      </w:r>
      <w:r>
        <w:t xml:space="preserve">pace.</w:t>
      </w:r>
    </w:p>
    <w:p>
      <w:pPr>
        <w:pStyle w:val="Compact"/>
        <w:numPr>
          <w:ilvl w:val="0"/>
          <w:numId w:val="1005"/>
        </w:numPr>
      </w:pPr>
      <w:r>
        <w:t xml:space="preserve">Reaffirmation of full-year NII, expense, loan-growth, and ROTCE ambitions.</w:t>
      </w:r>
    </w:p>
    <w:bookmarkEnd w:id="16"/>
    <w:bookmarkStart w:id="17" w:name="what-would-make-the-report-bearish"/>
    <w:p>
      <w:pPr>
        <w:pStyle w:val="Heading2"/>
      </w:pPr>
      <w:r>
        <w:t xml:space="preserve">What would make the report bearish?</w:t>
      </w:r>
    </w:p>
    <w:p>
      <w:pPr>
        <w:pStyle w:val="Compact"/>
        <w:numPr>
          <w:ilvl w:val="0"/>
          <w:numId w:val="1006"/>
        </w:numPr>
      </w:pPr>
      <w:r>
        <w:t xml:space="preserve">A flat-to-down NIM outcome or a reduced exit-NIM outlook.</w:t>
      </w:r>
    </w:p>
    <w:p>
      <w:pPr>
        <w:pStyle w:val="Compact"/>
        <w:numPr>
          <w:ilvl w:val="0"/>
          <w:numId w:val="1006"/>
        </w:numPr>
      </w:pPr>
      <w:r>
        <w:t xml:space="preserve">Weak commercial loan growth, particularly if management attributes it to competitive pricing or weaker client demand.</w:t>
      </w:r>
    </w:p>
    <w:p>
      <w:pPr>
        <w:pStyle w:val="Compact"/>
        <w:numPr>
          <w:ilvl w:val="0"/>
          <w:numId w:val="1006"/>
        </w:numPr>
      </w:pPr>
      <w:r>
        <w:t xml:space="preserve">Deposit stabilization that requires materially higher pricing or greater reliance on wholesale funding.</w:t>
      </w:r>
    </w:p>
    <w:p>
      <w:pPr>
        <w:pStyle w:val="Compact"/>
        <w:numPr>
          <w:ilvl w:val="0"/>
          <w:numId w:val="1006"/>
        </w:numPr>
      </w:pPr>
      <w:r>
        <w:t xml:space="preserve">Investment-banking weakness that pushes management below its mid-single-digit full-year growth target.</w:t>
      </w:r>
    </w:p>
    <w:p>
      <w:pPr>
        <w:pStyle w:val="Compact"/>
        <w:numPr>
          <w:ilvl w:val="0"/>
          <w:numId w:val="1006"/>
        </w:numPr>
      </w:pPr>
      <w:r>
        <w:t xml:space="preserve">Higher NPL inflows, reserve builds, or charge-offs outside of the previously identified idiosyncratic credits.</w:t>
      </w:r>
    </w:p>
    <w:p>
      <w:pPr>
        <w:pStyle w:val="Compact"/>
        <w:numPr>
          <w:ilvl w:val="0"/>
          <w:numId w:val="1006"/>
        </w:numPr>
      </w:pPr>
      <w:r>
        <w:t xml:space="preserve">Reduced buyback expectations due to capital, credit, or macro concerns.</w:t>
      </w:r>
    </w:p>
    <w:bookmarkEnd w:id="17"/>
    <w:bookmarkStart w:id="18" w:name="investor-takeaway"/>
    <w:p>
      <w:pPr>
        <w:pStyle w:val="Heading2"/>
      </w:pPr>
      <w:r>
        <w:t xml:space="preserve">Investor takeaway</w:t>
      </w:r>
    </w:p>
    <w:p>
      <w:pPr>
        <w:pStyle w:val="FirstParagraph"/>
      </w:pPr>
      <w:r>
        <w:t xml:space="preserve">The 2Q26 report is fundamentally a</w:t>
      </w:r>
      <w:r>
        <w:t xml:space="preserve"> </w:t>
      </w:r>
      <w:r>
        <w:rPr>
          <w:b/>
          <w:bCs/>
        </w:rPr>
        <w:t xml:space="preserve">proof-of-trajectory</w:t>
      </w:r>
      <w:r>
        <w:t xml:space="preserve"> </w:t>
      </w:r>
      <w:r>
        <w:t xml:space="preserve">quarter. Key has already established a strong starting point: 1Q earnings of</w:t>
      </w:r>
      <w:r>
        <w:t xml:space="preserve"> </w:t>
      </w:r>
      <w:r>
        <w:rPr>
          <w:b/>
          <w:bCs/>
        </w:rPr>
        <w:t xml:space="preserve">$0.44 per diluted share</w:t>
      </w:r>
      <w:r>
        <w:t xml:space="preserve">, improving margin, commercial growth, disciplined deposit repricing, and robust capital return. For the stock to work from here, investors need evidence that these were not merely first-quarter effects—that NIM can keep rising, deposits can support growth, fee businesses can absorb a softer investment-banking quarter, and credit remains contained.</w:t>
      </w:r>
    </w:p>
    <w:p>
      <w:pPr>
        <w:pStyle w:val="BodyText"/>
      </w:pPr>
      <w:r>
        <w:t xml:space="preserve">The most consequential data points on the release and call will be</w:t>
      </w:r>
      <w:r>
        <w:t xml:space="preserve"> </w:t>
      </w:r>
      <w:r>
        <w:rPr>
          <w:b/>
          <w:bCs/>
        </w:rPr>
        <w:t xml:space="preserve">NIM/NII progression, end-of-period commercial loans and deposits, investment-banking outlook, credit migration, and the buyback run rate</w:t>
      </w:r>
      <w:r>
        <w:t xml:space="preserve">.</w:t>
      </w:r>
    </w:p>
    <w:p>
      <w:pPr>
        <w:pStyle w:val="BodyText"/>
      </w:pPr>
      <w:r>
        <w:rPr>
          <w:i/>
          <w:iCs/>
        </w:rPr>
        <w:t xml:space="preserve">Sources reviewed: KeyCorp 1Q26 earnings release and earnings-call transcript; 1Q26 10-Q availability; May 2026 share-repurchase authorization filing; and historical KEY/KRE price data through July 20, 2026.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2026-07-21T00:38:55Z</dcterms:created>
  <dcterms:modified xsi:type="dcterms:W3CDTF">2026-07-21T00:38:55Z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