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KeyCorp (KEY)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KeyCorp</w:t>
            </w:r>
          </w:p>
        </w:tc>
        <w:tc>
          <w:tcPr>
            <w:tcW w:type="dxa" w:w="2160"/>
          </w:tcPr>
          <w:p>
            <w:r>
              <w:rPr>
                <w:rFonts w:ascii="Calibri" w:hAnsi="Calibri"/>
                <w:b/>
                <w:sz w:val="22"/>
              </w:rPr>
              <w:t>Upcoming Earnings</w:t>
            </w:r>
          </w:p>
        </w:tc>
        <w:tc>
          <w:tcPr>
            <w:tcW w:type="dxa" w:w="2160"/>
          </w:tcPr>
          <w:p>
            <w:r>
              <w:rPr>
                <w:rFonts w:ascii="Calibri" w:hAnsi="Calibri"/>
                <w:sz w:val="22"/>
              </w:rPr>
              <w:t>~July 22, 2026 (Q2 2026)</w:t>
            </w:r>
          </w:p>
        </w:tc>
      </w:tr>
      <w:tr>
        <w:tc>
          <w:tcPr>
            <w:tcW w:type="dxa" w:w="2160"/>
          </w:tcPr>
          <w:p>
            <w:r>
              <w:rPr>
                <w:rFonts w:ascii="Calibri" w:hAnsi="Calibri"/>
                <w:b/>
                <w:sz w:val="22"/>
              </w:rPr>
              <w:t>Ticker</w:t>
            </w:r>
          </w:p>
        </w:tc>
        <w:tc>
          <w:tcPr>
            <w:tcW w:type="dxa" w:w="2160"/>
          </w:tcPr>
          <w:p>
            <w:r>
              <w:rPr>
                <w:rFonts w:ascii="Calibri" w:hAnsi="Calibri"/>
                <w:sz w:val="22"/>
              </w:rPr>
              <w:t>KEY</w:t>
            </w:r>
          </w:p>
        </w:tc>
        <w:tc>
          <w:tcPr>
            <w:tcW w:type="dxa" w:w="2160"/>
          </w:tcPr>
          <w:p>
            <w:r>
              <w:rPr>
                <w:rFonts w:ascii="Calibri" w:hAnsi="Calibri"/>
                <w:b/>
                <w:sz w:val="22"/>
              </w:rPr>
              <w:t>Last Earnings</w:t>
            </w:r>
          </w:p>
        </w:tc>
        <w:tc>
          <w:tcPr>
            <w:tcW w:type="dxa" w:w="2160"/>
          </w:tcPr>
          <w:p>
            <w:r>
              <w:rPr>
                <w:rFonts w:ascii="Calibri" w:hAnsi="Calibri"/>
                <w:sz w:val="22"/>
              </w:rPr>
              <w:t>April 16, 2026 (Q1 2026)</w:t>
            </w:r>
          </w:p>
        </w:tc>
      </w:tr>
      <w:tr>
        <w:tc>
          <w:tcPr>
            <w:tcW w:type="dxa" w:w="2160"/>
          </w:tcPr>
          <w:p>
            <w:r>
              <w:rPr>
                <w:rFonts w:ascii="Calibri" w:hAnsi="Calibri"/>
                <w:b/>
                <w:sz w:val="22"/>
              </w:rPr>
              <w:t>Sector</w:t>
            </w:r>
          </w:p>
        </w:tc>
        <w:tc>
          <w:tcPr>
            <w:tcW w:type="dxa" w:w="2160"/>
          </w:tcPr>
          <w:p>
            <w:r>
              <w:rPr>
                <w:rFonts w:ascii="Calibri" w:hAnsi="Calibri"/>
                <w:sz w:val="22"/>
              </w:rPr>
              <w:t>Regional Banks</w:t>
            </w:r>
          </w:p>
        </w:tc>
        <w:tc>
          <w:tcPr>
            <w:tcW w:type="dxa" w:w="2160"/>
          </w:tcPr>
          <w:p>
            <w:r>
              <w:rPr>
                <w:rFonts w:ascii="Calibri" w:hAnsi="Calibri"/>
                <w:b/>
                <w:sz w:val="22"/>
              </w:rPr>
              <w:t>Prepared Date</w:t>
            </w:r>
          </w:p>
        </w:tc>
        <w:tc>
          <w:tcPr>
            <w:tcW w:type="dxa" w:w="2160"/>
          </w:tcPr>
          <w:p>
            <w:r>
              <w:rPr>
                <w:rFonts w:ascii="Calibri" w:hAnsi="Calibri"/>
                <w:sz w:val="22"/>
              </w:rPr>
              <w:t>July 20,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The bar is achievable but not low</w:t>
      </w:r>
      <w:r>
        <w:rPr>
          <w:rFonts w:ascii="Calibri" w:hAnsi="Calibri"/>
          <w:color w:val="525866"/>
          <w:sz w:val="22"/>
        </w:rPr>
        <w:t xml:space="preserve"> — consensus sits modestly below KEY's own guided ranges on NII and IB fees, and the stock has lagged KRE since earnings, suggesting the market is not pricing in a beat. The biggest swing factor is whether </w:t>
      </w:r>
      <w:r>
        <w:rPr>
          <w:rFonts w:ascii="Calibri" w:hAnsi="Calibri"/>
          <w:b/>
          <w:color w:val="525866"/>
          <w:sz w:val="22"/>
        </w:rPr>
        <w:t>commercial loan growth momentum from Q1 continued into Q2.</w:t>
      </w:r>
    </w:p>
    <w:p>
      <w:r>
        <w:rPr>
          <w:rFonts w:ascii="Calibri" w:hAnsi="Calibri"/>
          <w:color w:val="525866"/>
          <w:sz w:val="22"/>
        </w:rPr>
        <w:t xml:space="preserve">KeyCorp heads into Q2 2026 earnings with a constructive but not euphoric setup. Management guided Q2 NII up </w:t>
      </w:r>
      <w:r>
        <w:rPr>
          <w:rFonts w:ascii="Calibri" w:hAnsi="Calibri"/>
          <w:b/>
          <w:color w:val="525866"/>
          <w:sz w:val="22"/>
        </w:rPr>
        <w:t>~3% sequentially</w:t>
      </w:r>
      <w:r>
        <w:rPr>
          <w:rFonts w:ascii="Calibri" w:hAnsi="Calibri"/>
          <w:color w:val="525866"/>
          <w:sz w:val="22"/>
        </w:rPr>
        <w:t xml:space="preserve"> at the Morgan Stanley conference (June 10), implying ~$1.26B, and consensus sits at $1.257B — essentially in line with guidance. </w:t>
      </w:r>
      <w:r>
        <w:rPr>
          <w:rFonts w:ascii="Calibri" w:hAnsi="Calibri"/>
          <w:b/>
          <w:color w:val="525866"/>
          <w:sz w:val="22"/>
        </w:rPr>
        <w:t>Investment banking fees were guided to $175–180M</w:t>
      </w:r>
      <w:r>
        <w:rPr>
          <w:rFonts w:ascii="Calibri" w:hAnsi="Calibri"/>
          <w:color w:val="525866"/>
          <w:sz w:val="22"/>
        </w:rPr>
        <w:t xml:space="preserve">, and consensus is at $178.5M, also tracking guidance. The bar on credit is benign: management guided charge-offs to </w:t>
      </w:r>
      <w:r>
        <w:rPr>
          <w:rFonts w:ascii="Calibri" w:hAnsi="Calibri"/>
          <w:b/>
          <w:color w:val="525866"/>
          <w:sz w:val="22"/>
        </w:rPr>
        <w:t>~40bps</w:t>
      </w:r>
      <w:r>
        <w:rPr>
          <w:rFonts w:ascii="Calibri" w:hAnsi="Calibri"/>
          <w:color w:val="525866"/>
          <w:sz w:val="22"/>
        </w:rPr>
        <w:t xml:space="preserve"> and consensus is at 40.6bps. The stock has gained +7.6% since Q1 earnings vs. KRE +10.3% and SPY +5.8%, meaning KEY has </w:t>
      </w:r>
      <w:r>
        <w:rPr>
          <w:rFonts w:ascii="Calibri" w:hAnsi="Calibri"/>
          <w:b/>
          <w:color w:val="525866"/>
          <w:sz w:val="22"/>
        </w:rPr>
        <w:t>underperformed its regional bank peers</w:t>
      </w:r>
      <w:r>
        <w:rPr>
          <w:rFonts w:ascii="Calibri" w:hAnsi="Calibri"/>
          <w:color w:val="525866"/>
          <w:sz w:val="22"/>
        </w:rPr>
        <w:t xml:space="preserve"> — a setup that could be favorable if the print is clean. The wildcard is </w:t>
      </w:r>
      <w:r>
        <w:rPr>
          <w:rFonts w:ascii="Calibri" w:hAnsi="Calibri"/>
          <w:b/>
          <w:color w:val="525866"/>
          <w:sz w:val="22"/>
        </w:rPr>
        <w:t>commercial loan growth</w:t>
      </w:r>
      <w:r>
        <w:rPr>
          <w:rFonts w:ascii="Calibri" w:hAnsi="Calibri"/>
          <w:color w:val="525866"/>
          <w:sz w:val="22"/>
        </w:rPr>
        <w:t>: KEY grew commercial loans $3.3B (4% QoQ) in Q1 and guided $1.5B quarter-to-date at the June 10 conference, which if sustained would imply another strong quarter and potential upward revision to full-year loan guidance. Middle-market M&amp;A pipeline conversion remains the key uncertainty on the fee side.</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Factor</w:t>
            </w:r>
          </w:p>
        </w:tc>
        <w:tc>
          <w:tcPr>
            <w:tcW w:type="dxa" w:w="4320"/>
            <w:shd w:val="clear" w:color="auto" w:fill="3B4259"/>
          </w:tcPr>
          <w:p>
            <w:r>
              <w:rPr>
                <w:rFonts w:ascii="Calibri" w:hAnsi="Calibri"/>
                <w:b/>
                <w:color w:val="FFFFFF"/>
                <w:sz w:val="22"/>
              </w:rPr>
              <w:t>Assessment</w:t>
            </w:r>
          </w:p>
        </w:tc>
      </w:tr>
      <w:tr>
        <w:tc>
          <w:tcPr>
            <w:tcW w:type="dxa" w:w="4320"/>
          </w:tcPr>
          <w:p>
            <w:r>
              <w:rPr>
                <w:rFonts w:ascii="Calibri" w:hAnsi="Calibri"/>
                <w:b/>
                <w:sz w:val="22"/>
              </w:rPr>
              <w:t>Bar</w:t>
            </w:r>
          </w:p>
        </w:tc>
        <w:tc>
          <w:tcPr>
            <w:tcW w:type="dxa" w:w="4320"/>
          </w:tcPr>
          <w:p>
            <w:r>
              <w:rPr>
                <w:rFonts w:ascii="Calibri" w:hAnsi="Calibri"/>
                <w:sz w:val="22"/>
              </w:rPr>
              <w:t>Consensus NII of $1.257B is essentially in line with management’s guided ~3% sequential growth. The bar is achievable but not a layup — any miss on IB fees or credit deterioration would be punished.</w:t>
            </w:r>
          </w:p>
        </w:tc>
      </w:tr>
      <w:tr>
        <w:tc>
          <w:tcPr>
            <w:tcW w:type="dxa" w:w="4320"/>
          </w:tcPr>
          <w:p>
            <w:r>
              <w:rPr>
                <w:rFonts w:ascii="Calibri" w:hAnsi="Calibri"/>
                <w:b/>
                <w:sz w:val="22"/>
              </w:rPr>
              <w:t>Guidance / Tone</w:t>
            </w:r>
          </w:p>
        </w:tc>
        <w:tc>
          <w:tcPr>
            <w:tcW w:type="dxa" w:w="4320"/>
          </w:tcPr>
          <w:p>
            <w:r>
              <w:rPr>
                <w:rFonts w:ascii="Calibri" w:hAnsi="Calibri"/>
                <w:sz w:val="22"/>
              </w:rPr>
              <w:t>Management tone at the Morgan Stanley conference (June 10) was confident and reiterating — no changes to full-year guidance, NIM trajectory to 3.05% exit, and $1.3B+ buyback floor. Tone was constructive on loan growth with potential upside to guidance.</w:t>
            </w:r>
          </w:p>
        </w:tc>
      </w:tr>
      <w:tr>
        <w:tc>
          <w:tcPr>
            <w:tcW w:type="dxa" w:w="4320"/>
          </w:tcPr>
          <w:p>
            <w:r>
              <w:rPr>
                <w:rFonts w:ascii="Calibri" w:hAnsi="Calibri"/>
                <w:b/>
                <w:sz w:val="22"/>
              </w:rPr>
              <w:t>Estimate Trajectory</w:t>
            </w:r>
          </w:p>
        </w:tc>
        <w:tc>
          <w:tcPr>
            <w:tcW w:type="dxa" w:w="4320"/>
          </w:tcPr>
          <w:p>
            <w:r>
              <w:rPr>
                <w:rFonts w:ascii="Calibri" w:hAnsi="Calibri"/>
                <w:sz w:val="22"/>
              </w:rPr>
              <w:t>Estimates have been broadly stable since Q1 earnings. NII consensus for Q2 is $1.257B vs. Q1 actual of $1.222B (+2.9% QoQ). Full-year NII consensus is $5.100B, consistent with management’s 9–10% growth guide.</w:t>
            </w:r>
          </w:p>
        </w:tc>
      </w:tr>
      <w:tr>
        <w:tc>
          <w:tcPr>
            <w:tcW w:type="dxa" w:w="4320"/>
          </w:tcPr>
          <w:p>
            <w:r>
              <w:rPr>
                <w:rFonts w:ascii="Calibri" w:hAnsi="Calibri"/>
                <w:b/>
                <w:sz w:val="22"/>
              </w:rPr>
              <w:t>Stock Setup</w:t>
            </w:r>
          </w:p>
        </w:tc>
        <w:tc>
          <w:tcPr>
            <w:tcW w:type="dxa" w:w="4320"/>
          </w:tcPr>
          <w:p>
            <w:r>
              <w:rPr>
                <w:rFonts w:ascii="Calibri" w:hAnsi="Calibri"/>
                <w:sz w:val="22"/>
              </w:rPr>
              <w:t>KEY trades at ~$23.32, up 7.6% since Q1 earnings but lagging KRE (+10.3%). The stock is not pricing in a beat — the underperformance vs. peers creates a favorable asymmetry if the print is clean.</w:t>
            </w:r>
          </w:p>
        </w:tc>
      </w:tr>
      <w:tr>
        <w:tc>
          <w:tcPr>
            <w:tcW w:type="dxa" w:w="4320"/>
          </w:tcPr>
          <w:p>
            <w:r>
              <w:rPr>
                <w:rFonts w:ascii="Calibri" w:hAnsi="Calibri"/>
                <w:b/>
                <w:sz w:val="22"/>
              </w:rPr>
              <w:t>Wildcard</w:t>
            </w:r>
          </w:p>
        </w:tc>
        <w:tc>
          <w:tcPr>
            <w:tcW w:type="dxa" w:w="4320"/>
          </w:tcPr>
          <w:p>
            <w:r>
              <w:rPr>
                <w:rFonts w:ascii="Calibri" w:hAnsi="Calibri"/>
                <w:sz w:val="22"/>
              </w:rPr>
              <w:t>Commercial loan growth trajectory — KEY grew $3.3B in Q1 and guided $1.5B QTD at the June conference. If Q2 ends with $2.5B+ of commercial loan growth, management will likely raise full-year loan guidance again, which would be a positive catalyst.</w:t>
            </w:r>
          </w:p>
        </w:tc>
      </w:tr>
    </w:tbl>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NII and NIM are the primary value drivers</w:t>
      </w:r>
      <w:r>
        <w:rPr>
          <w:rFonts w:ascii="Calibri" w:hAnsi="Calibri"/>
          <w:color w:val="525866"/>
          <w:sz w:val="22"/>
        </w:rPr>
        <w:t xml:space="preserve"> — both are tracking management guidance and consensus is a modest but achievable bar. </w:t>
      </w:r>
      <w:r>
        <w:rPr>
          <w:rFonts w:ascii="Calibri" w:hAnsi="Calibri"/>
          <w:b/>
          <w:color w:val="525866"/>
          <w:sz w:val="22"/>
        </w:rPr>
        <w:t>Investment banking fees are the swing factor</w:t>
      </w:r>
      <w:r>
        <w:rPr>
          <w:rFonts w:ascii="Calibri" w:hAnsi="Calibri"/>
          <w:color w:val="525866"/>
          <w:sz w:val="22"/>
        </w:rPr>
        <w:t>, with consensus at $178.5M vs. guided $175–180M range.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Interest Income ($M)</w:t>
            </w:r>
          </w:p>
        </w:tc>
        <w:tc>
          <w:tcPr>
            <w:tcW w:type="dxa" w:w="1234"/>
          </w:tcPr>
          <w:p>
            <w:r>
              <w:rPr>
                <w:rFonts w:ascii="Calibri" w:hAnsi="Calibri"/>
                <w:sz w:val="22"/>
              </w:rPr>
              <w:t>$1,222M</w:t>
            </w:r>
          </w:p>
        </w:tc>
        <w:tc>
          <w:tcPr>
            <w:tcW w:type="dxa" w:w="1234"/>
          </w:tcPr>
          <w:p>
            <w:r>
              <w:rPr>
                <w:rFonts w:ascii="Calibri" w:hAnsi="Calibri"/>
                <w:sz w:val="22"/>
              </w:rPr>
              <w:t>$1,141M</w:t>
            </w:r>
          </w:p>
        </w:tc>
        <w:tc>
          <w:tcPr>
            <w:tcW w:type="dxa" w:w="1234"/>
          </w:tcPr>
          <w:p>
            <w:r>
              <w:rPr>
                <w:rFonts w:ascii="Calibri" w:hAnsi="Calibri"/>
                <w:sz w:val="22"/>
              </w:rPr>
              <w:t>$1,257M</w:t>
            </w:r>
          </w:p>
        </w:tc>
        <w:tc>
          <w:tcPr>
            <w:tcW w:type="dxa" w:w="1234"/>
          </w:tcPr>
          <w:p>
            <w:r>
              <w:rPr>
                <w:rFonts w:ascii="Calibri" w:hAnsi="Calibri"/>
                <w:b/>
                <w:color w:val="30A46C"/>
                <w:sz w:val="22"/>
              </w:rPr>
              <w:t>+10.2%</w:t>
            </w:r>
          </w:p>
        </w:tc>
        <w:tc>
          <w:tcPr>
            <w:tcW w:type="dxa" w:w="1234"/>
          </w:tcPr>
          <w:p>
            <w:r>
              <w:rPr>
                <w:rFonts w:ascii="Calibri" w:hAnsi="Calibri"/>
                <w:sz w:val="22"/>
              </w:rPr>
              <w:t>~$1,257M (~3% QoQ)</w:t>
            </w:r>
          </w:p>
        </w:tc>
        <w:tc>
          <w:tcPr>
            <w:tcW w:type="dxa" w:w="1234"/>
          </w:tcPr>
          <w:p>
            <w:r>
              <w:rPr>
                <w:rFonts w:ascii="Calibri" w:hAnsi="Calibri"/>
                <w:sz w:val="22"/>
              </w:rPr>
              <w:t>~0%</w:t>
            </w:r>
          </w:p>
        </w:tc>
      </w:tr>
      <w:tr>
        <w:tc>
          <w:tcPr>
            <w:tcW w:type="dxa" w:w="1234"/>
          </w:tcPr>
          <w:p>
            <w:r>
              <w:rPr>
                <w:rFonts w:ascii="Calibri" w:hAnsi="Calibri"/>
                <w:sz w:val="22"/>
              </w:rPr>
              <w:t>Net Interest Margin — FTE (%)</w:t>
            </w:r>
          </w:p>
        </w:tc>
        <w:tc>
          <w:tcPr>
            <w:tcW w:type="dxa" w:w="1234"/>
          </w:tcPr>
          <w:p>
            <w:r>
              <w:rPr>
                <w:rFonts w:ascii="Calibri" w:hAnsi="Calibri"/>
                <w:sz w:val="22"/>
              </w:rPr>
              <w:t>2.87%</w:t>
            </w:r>
          </w:p>
        </w:tc>
        <w:tc>
          <w:tcPr>
            <w:tcW w:type="dxa" w:w="1234"/>
          </w:tcPr>
          <w:p>
            <w:r>
              <w:rPr>
                <w:rFonts w:ascii="Calibri" w:hAnsi="Calibri"/>
                <w:sz w:val="22"/>
              </w:rPr>
              <w:t>2.71%</w:t>
            </w:r>
          </w:p>
        </w:tc>
        <w:tc>
          <w:tcPr>
            <w:tcW w:type="dxa" w:w="1234"/>
          </w:tcPr>
          <w:p>
            <w:r>
              <w:rPr>
                <w:rFonts w:ascii="Calibri" w:hAnsi="Calibri"/>
                <w:sz w:val="22"/>
              </w:rPr>
              <w:t>2.95%</w:t>
            </w:r>
          </w:p>
        </w:tc>
        <w:tc>
          <w:tcPr>
            <w:tcW w:type="dxa" w:w="1234"/>
          </w:tcPr>
          <w:p>
            <w:r>
              <w:rPr>
                <w:rFonts w:ascii="Calibri" w:hAnsi="Calibri"/>
                <w:b/>
                <w:color w:val="30A46C"/>
                <w:sz w:val="22"/>
              </w:rPr>
              <w:t>+24bps</w:t>
            </w:r>
          </w:p>
        </w:tc>
        <w:tc>
          <w:tcPr>
            <w:tcW w:type="dxa" w:w="1234"/>
          </w:tcPr>
          <w:p>
            <w:r>
              <w:rPr>
                <w:rFonts w:ascii="Calibri" w:hAnsi="Calibri"/>
                <w:sz w:val="22"/>
              </w:rPr>
              <w:t>&gt;3% by YE 2026</w:t>
            </w:r>
          </w:p>
        </w:tc>
        <w:tc>
          <w:tcPr>
            <w:tcW w:type="dxa" w:w="1234"/>
          </w:tcPr>
          <w:p>
            <w:r>
              <w:rPr>
                <w:rFonts w:ascii="Calibri" w:hAnsi="Calibri"/>
                <w:sz w:val="22"/>
              </w:rPr>
              <w:t>On track</w:t>
            </w:r>
          </w:p>
        </w:tc>
      </w:tr>
      <w:tr>
        <w:tc>
          <w:tcPr>
            <w:tcW w:type="dxa" w:w="1234"/>
          </w:tcPr>
          <w:p>
            <w:r>
              <w:rPr>
                <w:rFonts w:ascii="Calibri" w:hAnsi="Calibri"/>
                <w:sz w:val="22"/>
              </w:rPr>
              <w:t>Investment Banking Fees ($M)</w:t>
            </w:r>
          </w:p>
        </w:tc>
        <w:tc>
          <w:tcPr>
            <w:tcW w:type="dxa" w:w="1234"/>
          </w:tcPr>
          <w:p>
            <w:r>
              <w:rPr>
                <w:rFonts w:ascii="Calibri" w:hAnsi="Calibri"/>
                <w:sz w:val="22"/>
              </w:rPr>
              <w:t>$197M</w:t>
            </w:r>
          </w:p>
        </w:tc>
        <w:tc>
          <w:tcPr>
            <w:tcW w:type="dxa" w:w="1234"/>
          </w:tcPr>
          <w:p>
            <w:r>
              <w:rPr>
                <w:rFonts w:ascii="Calibri" w:hAnsi="Calibri"/>
                <w:sz w:val="22"/>
              </w:rPr>
              <w:t>$178M</w:t>
            </w:r>
          </w:p>
        </w:tc>
        <w:tc>
          <w:tcPr>
            <w:tcW w:type="dxa" w:w="1234"/>
          </w:tcPr>
          <w:p>
            <w:r>
              <w:rPr>
                <w:rFonts w:ascii="Calibri" w:hAnsi="Calibri"/>
                <w:sz w:val="22"/>
              </w:rPr>
              <w:t>$179M</w:t>
            </w:r>
          </w:p>
        </w:tc>
        <w:tc>
          <w:tcPr>
            <w:tcW w:type="dxa" w:w="1234"/>
          </w:tcPr>
          <w:p>
            <w:r>
              <w:rPr>
                <w:rFonts w:ascii="Calibri" w:hAnsi="Calibri"/>
                <w:sz w:val="22"/>
              </w:rPr>
              <w:t>+0.6%</w:t>
            </w:r>
          </w:p>
        </w:tc>
        <w:tc>
          <w:tcPr>
            <w:tcW w:type="dxa" w:w="1234"/>
          </w:tcPr>
          <w:p>
            <w:r>
              <w:rPr>
                <w:rFonts w:ascii="Calibri" w:hAnsi="Calibri"/>
                <w:sz w:val="22"/>
              </w:rPr>
              <w:t>$175–180M</w:t>
            </w:r>
          </w:p>
        </w:tc>
        <w:tc>
          <w:tcPr>
            <w:tcW w:type="dxa" w:w="1234"/>
          </w:tcPr>
          <w:p>
            <w:r>
              <w:rPr>
                <w:rFonts w:ascii="Calibri" w:hAnsi="Calibri"/>
                <w:sz w:val="22"/>
              </w:rPr>
              <w:t>+0.3%</w:t>
            </w:r>
          </w:p>
        </w:tc>
      </w:tr>
      <w:tr>
        <w:tc>
          <w:tcPr>
            <w:tcW w:type="dxa" w:w="1234"/>
          </w:tcPr>
          <w:p>
            <w:r>
              <w:rPr>
                <w:rFonts w:ascii="Calibri" w:hAnsi="Calibri"/>
                <w:sz w:val="22"/>
              </w:rPr>
              <w:t>Total Noninterest Income ($M)</w:t>
            </w:r>
          </w:p>
        </w:tc>
        <w:tc>
          <w:tcPr>
            <w:tcW w:type="dxa" w:w="1234"/>
          </w:tcPr>
          <w:p>
            <w:r>
              <w:rPr>
                <w:rFonts w:ascii="Calibri" w:hAnsi="Calibri"/>
                <w:sz w:val="22"/>
              </w:rPr>
              <w:t>$723M</w:t>
            </w:r>
          </w:p>
        </w:tc>
        <w:tc>
          <w:tcPr>
            <w:tcW w:type="dxa" w:w="1234"/>
          </w:tcPr>
          <w:p>
            <w:r>
              <w:rPr>
                <w:rFonts w:ascii="Calibri" w:hAnsi="Calibri"/>
                <w:sz w:val="22"/>
              </w:rPr>
              <w:t>$690M</w:t>
            </w:r>
          </w:p>
        </w:tc>
        <w:tc>
          <w:tcPr>
            <w:tcW w:type="dxa" w:w="1234"/>
          </w:tcPr>
          <w:p>
            <w:r>
              <w:rPr>
                <w:rFonts w:ascii="Calibri" w:hAnsi="Calibri"/>
                <w:sz w:val="22"/>
              </w:rPr>
              <w:t>$706M</w:t>
            </w:r>
          </w:p>
        </w:tc>
        <w:tc>
          <w:tcPr>
            <w:tcW w:type="dxa" w:w="1234"/>
          </w:tcPr>
          <w:p>
            <w:r>
              <w:rPr>
                <w:rFonts w:ascii="Calibri" w:hAnsi="Calibri"/>
                <w:sz w:val="22"/>
              </w:rPr>
              <w:t>+2.3%</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Total Noninterest Expense ($M)</w:t>
            </w:r>
          </w:p>
        </w:tc>
        <w:tc>
          <w:tcPr>
            <w:tcW w:type="dxa" w:w="1234"/>
          </w:tcPr>
          <w:p>
            <w:r>
              <w:rPr>
                <w:rFonts w:ascii="Calibri" w:hAnsi="Calibri"/>
                <w:sz w:val="22"/>
              </w:rPr>
              <w:t>$1,181M</w:t>
            </w:r>
          </w:p>
        </w:tc>
        <w:tc>
          <w:tcPr>
            <w:tcW w:type="dxa" w:w="1234"/>
          </w:tcPr>
          <w:p>
            <w:r>
              <w:rPr>
                <w:rFonts w:ascii="Calibri" w:hAnsi="Calibri"/>
                <w:sz w:val="22"/>
              </w:rPr>
              <w:t>$1,154M</w:t>
            </w:r>
          </w:p>
        </w:tc>
        <w:tc>
          <w:tcPr>
            <w:tcW w:type="dxa" w:w="1234"/>
          </w:tcPr>
          <w:p>
            <w:r>
              <w:rPr>
                <w:rFonts w:ascii="Calibri" w:hAnsi="Calibri"/>
                <w:sz w:val="22"/>
              </w:rPr>
              <w:t>$1,224M</w:t>
            </w:r>
          </w:p>
        </w:tc>
        <w:tc>
          <w:tcPr>
            <w:tcW w:type="dxa" w:w="1234"/>
          </w:tcPr>
          <w:p>
            <w:r>
              <w:rPr>
                <w:rFonts w:ascii="Calibri" w:hAnsi="Calibri"/>
                <w:b/>
                <w:color w:val="E5484D"/>
                <w:sz w:val="22"/>
              </w:rPr>
              <w:t>+6.1%</w:t>
            </w:r>
          </w:p>
        </w:tc>
        <w:tc>
          <w:tcPr>
            <w:tcW w:type="dxa" w:w="1234"/>
          </w:tcPr>
          <w:p>
            <w:r>
              <w:rPr>
                <w:rFonts w:ascii="Calibri" w:hAnsi="Calibri"/>
                <w:sz w:val="22"/>
              </w:rPr>
              <w:t>3–4% FY growth</w:t>
            </w:r>
          </w:p>
        </w:tc>
        <w:tc>
          <w:tcPr>
            <w:tcW w:type="dxa" w:w="1234"/>
          </w:tcPr>
          <w:p>
            <w:r>
              <w:rPr>
                <w:rFonts w:ascii="Calibri" w:hAnsi="Calibri"/>
                <w:sz w:val="22"/>
              </w:rPr>
              <w:t>On track</w:t>
            </w:r>
          </w:p>
        </w:tc>
      </w:tr>
      <w:tr>
        <w:tc>
          <w:tcPr>
            <w:tcW w:type="dxa" w:w="1234"/>
          </w:tcPr>
          <w:p>
            <w:r>
              <w:rPr>
                <w:rFonts w:ascii="Calibri" w:hAnsi="Calibri"/>
                <w:sz w:val="22"/>
              </w:rPr>
              <w:t>Diluted EPS — Operating ($)</w:t>
            </w:r>
          </w:p>
        </w:tc>
        <w:tc>
          <w:tcPr>
            <w:tcW w:type="dxa" w:w="1234"/>
          </w:tcPr>
          <w:p>
            <w:r>
              <w:rPr>
                <w:rFonts w:ascii="Calibri" w:hAnsi="Calibri"/>
                <w:sz w:val="22"/>
              </w:rPr>
              <w:t>$0.44</w:t>
            </w:r>
          </w:p>
        </w:tc>
        <w:tc>
          <w:tcPr>
            <w:tcW w:type="dxa" w:w="1234"/>
          </w:tcPr>
          <w:p>
            <w:r>
              <w:rPr>
                <w:rFonts w:ascii="Calibri" w:hAnsi="Calibri"/>
                <w:sz w:val="22"/>
              </w:rPr>
              <w:t>$0.35</w:t>
            </w:r>
          </w:p>
        </w:tc>
        <w:tc>
          <w:tcPr>
            <w:tcW w:type="dxa" w:w="1234"/>
          </w:tcPr>
          <w:p>
            <w:r>
              <w:rPr>
                <w:rFonts w:ascii="Calibri" w:hAnsi="Calibri"/>
                <w:sz w:val="22"/>
              </w:rPr>
              <w:t>$0.42</w:t>
            </w:r>
          </w:p>
        </w:tc>
        <w:tc>
          <w:tcPr>
            <w:tcW w:type="dxa" w:w="1234"/>
          </w:tcPr>
          <w:p>
            <w:r>
              <w:rPr>
                <w:rFonts w:ascii="Calibri" w:hAnsi="Calibri"/>
                <w:b/>
                <w:color w:val="30A46C"/>
                <w:sz w:val="22"/>
              </w:rPr>
              <w:t>+20.0%</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ROTCE (%)</w:t>
            </w:r>
          </w:p>
        </w:tc>
        <w:tc>
          <w:tcPr>
            <w:tcW w:type="dxa" w:w="1234"/>
          </w:tcPr>
          <w:p>
            <w:r>
              <w:rPr>
                <w:rFonts w:ascii="Calibri" w:hAnsi="Calibri"/>
                <w:sz w:val="22"/>
              </w:rPr>
              <w:t>12.98%</w:t>
            </w:r>
          </w:p>
        </w:tc>
        <w:tc>
          <w:tcPr>
            <w:tcW w:type="dxa" w:w="1234"/>
          </w:tcPr>
          <w:p>
            <w:r>
              <w:rPr>
                <w:rFonts w:ascii="Calibri" w:hAnsi="Calibri"/>
                <w:sz w:val="22"/>
              </w:rPr>
              <w:t>11.09%</w:t>
            </w:r>
          </w:p>
        </w:tc>
        <w:tc>
          <w:tcPr>
            <w:tcW w:type="dxa" w:w="1234"/>
          </w:tcPr>
          <w:p>
            <w:r>
              <w:rPr>
                <w:rFonts w:ascii="Calibri" w:hAnsi="Calibri"/>
                <w:sz w:val="22"/>
              </w:rPr>
              <w:t>12.16%</w:t>
            </w:r>
          </w:p>
        </w:tc>
        <w:tc>
          <w:tcPr>
            <w:tcW w:type="dxa" w:w="1234"/>
          </w:tcPr>
          <w:p>
            <w:r>
              <w:rPr>
                <w:rFonts w:ascii="Calibri" w:hAnsi="Calibri"/>
                <w:b/>
                <w:color w:val="30A46C"/>
                <w:sz w:val="22"/>
              </w:rPr>
              <w:t>+107bps</w:t>
            </w:r>
          </w:p>
        </w:tc>
        <w:tc>
          <w:tcPr>
            <w:tcW w:type="dxa" w:w="1234"/>
          </w:tcPr>
          <w:p>
            <w:r>
              <w:rPr>
                <w:rFonts w:ascii="Calibri" w:hAnsi="Calibri"/>
                <w:sz w:val="22"/>
              </w:rPr>
              <w:t>15%+ by YE 2027</w:t>
            </w:r>
          </w:p>
        </w:tc>
        <w:tc>
          <w:tcPr>
            <w:tcW w:type="dxa" w:w="1234"/>
          </w:tcPr>
          <w:p>
            <w:r>
              <w:rPr>
                <w:rFonts w:ascii="Calibri" w:hAnsi="Calibri"/>
                <w:sz w:val="22"/>
              </w:rPr>
              <w:t>On track</w:t>
            </w:r>
          </w:p>
        </w:tc>
      </w:tr>
      <w:tr>
        <w:tc>
          <w:tcPr>
            <w:tcW w:type="dxa" w:w="1234"/>
          </w:tcPr>
          <w:p>
            <w:r>
              <w:rPr>
                <w:rFonts w:ascii="Calibri" w:hAnsi="Calibri"/>
                <w:sz w:val="22"/>
              </w:rPr>
              <w:t>Net Charge-Off Ratio (%)</w:t>
            </w:r>
          </w:p>
        </w:tc>
        <w:tc>
          <w:tcPr>
            <w:tcW w:type="dxa" w:w="1234"/>
          </w:tcPr>
          <w:p>
            <w:r>
              <w:rPr>
                <w:rFonts w:ascii="Calibri" w:hAnsi="Calibri"/>
                <w:sz w:val="22"/>
              </w:rPr>
              <w:t>0.38%</w:t>
            </w:r>
          </w:p>
        </w:tc>
        <w:tc>
          <w:tcPr>
            <w:tcW w:type="dxa" w:w="1234"/>
          </w:tcPr>
          <w:p>
            <w:r>
              <w:rPr>
                <w:rFonts w:ascii="Calibri" w:hAnsi="Calibri"/>
                <w:sz w:val="22"/>
              </w:rPr>
              <w:t>0.39%</w:t>
            </w:r>
          </w:p>
        </w:tc>
        <w:tc>
          <w:tcPr>
            <w:tcW w:type="dxa" w:w="1234"/>
          </w:tcPr>
          <w:p>
            <w:r>
              <w:rPr>
                <w:rFonts w:ascii="Calibri" w:hAnsi="Calibri"/>
                <w:sz w:val="22"/>
              </w:rPr>
              <w:t>0.41%</w:t>
            </w:r>
          </w:p>
        </w:tc>
        <w:tc>
          <w:tcPr>
            <w:tcW w:type="dxa" w:w="1234"/>
          </w:tcPr>
          <w:p>
            <w:r>
              <w:rPr>
                <w:rFonts w:ascii="Calibri" w:hAnsi="Calibri"/>
                <w:sz w:val="22"/>
              </w:rPr>
              <w:t>+2bps</w:t>
            </w:r>
          </w:p>
        </w:tc>
        <w:tc>
          <w:tcPr>
            <w:tcW w:type="dxa" w:w="1234"/>
          </w:tcPr>
          <w:p>
            <w:r>
              <w:rPr>
                <w:rFonts w:ascii="Calibri" w:hAnsi="Calibri"/>
                <w:sz w:val="22"/>
              </w:rPr>
              <w:t>~40bps</w:t>
            </w:r>
          </w:p>
        </w:tc>
        <w:tc>
          <w:tcPr>
            <w:tcW w:type="dxa" w:w="1234"/>
          </w:tcPr>
          <w:p>
            <w:r>
              <w:rPr>
                <w:rFonts w:ascii="Calibri" w:hAnsi="Calibri"/>
                <w:sz w:val="22"/>
              </w:rPr>
              <w:t>In line</w:t>
            </w:r>
          </w:p>
        </w:tc>
      </w:tr>
      <w:tr>
        <w:tc>
          <w:tcPr>
            <w:tcW w:type="dxa" w:w="1234"/>
          </w:tcPr>
          <w:p>
            <w:r>
              <w:rPr>
                <w:rFonts w:ascii="Calibri" w:hAnsi="Calibri"/>
                <w:sz w:val="22"/>
              </w:rPr>
              <w:t>Provision for Credit Losses ($M)</w:t>
            </w:r>
          </w:p>
        </w:tc>
        <w:tc>
          <w:tcPr>
            <w:tcW w:type="dxa" w:w="1234"/>
          </w:tcPr>
          <w:p>
            <w:r>
              <w:rPr>
                <w:rFonts w:ascii="Calibri" w:hAnsi="Calibri"/>
                <w:sz w:val="22"/>
              </w:rPr>
              <w:t>$106M</w:t>
            </w:r>
          </w:p>
        </w:tc>
        <w:tc>
          <w:tcPr>
            <w:tcW w:type="dxa" w:w="1234"/>
          </w:tcPr>
          <w:p>
            <w:r>
              <w:rPr>
                <w:rFonts w:ascii="Calibri" w:hAnsi="Calibri"/>
                <w:sz w:val="22"/>
              </w:rPr>
              <w:t>$138M</w:t>
            </w:r>
          </w:p>
        </w:tc>
        <w:tc>
          <w:tcPr>
            <w:tcW w:type="dxa" w:w="1234"/>
          </w:tcPr>
          <w:p>
            <w:r>
              <w:rPr>
                <w:rFonts w:ascii="Calibri" w:hAnsi="Calibri"/>
                <w:sz w:val="22"/>
              </w:rPr>
              <w:t>$113M</w:t>
            </w:r>
          </w:p>
        </w:tc>
        <w:tc>
          <w:tcPr>
            <w:tcW w:type="dxa" w:w="1234"/>
          </w:tcPr>
          <w:p>
            <w:r>
              <w:rPr>
                <w:rFonts w:ascii="Calibri" w:hAnsi="Calibri"/>
                <w:b/>
                <w:color w:val="30A46C"/>
                <w:sz w:val="22"/>
              </w:rPr>
              <w:t>-18.1%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CET1 Ratio (%)</w:t>
            </w:r>
          </w:p>
        </w:tc>
        <w:tc>
          <w:tcPr>
            <w:tcW w:type="dxa" w:w="1234"/>
          </w:tcPr>
          <w:p>
            <w:r>
              <w:rPr>
                <w:rFonts w:ascii="Calibri" w:hAnsi="Calibri"/>
                <w:sz w:val="22"/>
              </w:rPr>
              <w:t>11.40%</w:t>
            </w:r>
          </w:p>
        </w:tc>
        <w:tc>
          <w:tcPr>
            <w:tcW w:type="dxa" w:w="1234"/>
          </w:tcPr>
          <w:p>
            <w:r>
              <w:rPr>
                <w:rFonts w:ascii="Calibri" w:hAnsi="Calibri"/>
                <w:sz w:val="22"/>
              </w:rPr>
              <w:t>11.72%</w:t>
            </w:r>
          </w:p>
        </w:tc>
        <w:tc>
          <w:tcPr>
            <w:tcW w:type="dxa" w:w="1234"/>
          </w:tcPr>
          <w:p>
            <w:r>
              <w:rPr>
                <w:rFonts w:ascii="Calibri" w:hAnsi="Calibri"/>
                <w:sz w:val="22"/>
              </w:rPr>
              <w:t>11.30%</w:t>
            </w:r>
          </w:p>
        </w:tc>
        <w:tc>
          <w:tcPr>
            <w:tcW w:type="dxa" w:w="1234"/>
          </w:tcPr>
          <w:p>
            <w:r>
              <w:rPr>
                <w:rFonts w:ascii="Calibri" w:hAnsi="Calibri"/>
                <w:sz w:val="22"/>
              </w:rPr>
              <w:t>-42bps</w:t>
            </w:r>
          </w:p>
        </w:tc>
        <w:tc>
          <w:tcPr>
            <w:tcW w:type="dxa" w:w="1234"/>
          </w:tcPr>
          <w:p>
            <w:r>
              <w:rPr>
                <w:rFonts w:ascii="Calibri" w:hAnsi="Calibri"/>
                <w:sz w:val="22"/>
              </w:rPr>
              <w:t>9.5–10% marked CET1</w:t>
            </w:r>
          </w:p>
        </w:tc>
        <w:tc>
          <w:tcPr>
            <w:tcW w:type="dxa" w:w="1234"/>
          </w:tcPr>
          <w:p>
            <w:r>
              <w:rPr>
                <w:rFonts w:ascii="Calibri" w:hAnsi="Calibri"/>
                <w:sz w:val="22"/>
              </w:rPr>
              <w:t>Well above target</w:t>
            </w:r>
          </w:p>
        </w:tc>
      </w:tr>
      <w:tr>
        <w:tc>
          <w:tcPr>
            <w:tcW w:type="dxa" w:w="1234"/>
          </w:tcPr>
          <w:p>
            <w:r>
              <w:rPr>
                <w:rFonts w:ascii="Calibri" w:hAnsi="Calibri"/>
                <w:sz w:val="22"/>
              </w:rPr>
              <w:t>Total Commercial Loans ($B)</w:t>
            </w:r>
          </w:p>
        </w:tc>
        <w:tc>
          <w:tcPr>
            <w:tcW w:type="dxa" w:w="1234"/>
          </w:tcPr>
          <w:p>
            <w:r>
              <w:rPr>
                <w:rFonts w:ascii="Calibri" w:hAnsi="Calibri"/>
                <w:sz w:val="22"/>
              </w:rPr>
              <w:t>$79.8B</w:t>
            </w:r>
          </w:p>
        </w:tc>
        <w:tc>
          <w:tcPr>
            <w:tcW w:type="dxa" w:w="1234"/>
          </w:tcPr>
          <w:p>
            <w:r>
              <w:rPr>
                <w:rFonts w:ascii="Calibri" w:hAnsi="Calibri"/>
                <w:sz w:val="22"/>
              </w:rPr>
              <w:t>$75.2B</w:t>
            </w:r>
          </w:p>
        </w:tc>
        <w:tc>
          <w:tcPr>
            <w:tcW w:type="dxa" w:w="1234"/>
          </w:tcPr>
          <w:p>
            <w:r>
              <w:rPr>
                <w:rFonts w:ascii="Calibri" w:hAnsi="Calibri"/>
                <w:sz w:val="22"/>
              </w:rPr>
              <w:t>$81.6B</w:t>
            </w:r>
          </w:p>
        </w:tc>
        <w:tc>
          <w:tcPr>
            <w:tcW w:type="dxa" w:w="1234"/>
          </w:tcPr>
          <w:p>
            <w:r>
              <w:rPr>
                <w:rFonts w:ascii="Calibri" w:hAnsi="Calibri"/>
                <w:b/>
                <w:color w:val="30A46C"/>
                <w:sz w:val="22"/>
              </w:rPr>
              <w:t>+8.5%</w:t>
            </w:r>
          </w:p>
        </w:tc>
        <w:tc>
          <w:tcPr>
            <w:tcW w:type="dxa" w:w="1234"/>
          </w:tcPr>
          <w:p>
            <w:r>
              <w:rPr>
                <w:rFonts w:ascii="Calibri" w:hAnsi="Calibri"/>
                <w:sz w:val="22"/>
              </w:rPr>
              <w:t>6–8% FY avg growth</w:t>
            </w:r>
          </w:p>
        </w:tc>
        <w:tc>
          <w:tcPr>
            <w:tcW w:type="dxa" w:w="1234"/>
          </w:tcPr>
          <w:p>
            <w:r>
              <w:rPr>
                <w:rFonts w:ascii="Calibri" w:hAnsi="Calibri"/>
                <w:sz w:val="22"/>
              </w:rPr>
              <w:t>On track</w:t>
            </w:r>
          </w:p>
        </w:tc>
      </w:tr>
      <w:tr>
        <w:tc>
          <w:tcPr>
            <w:tcW w:type="dxa" w:w="1234"/>
          </w:tcPr>
          <w:p>
            <w:r>
              <w:rPr>
                <w:rFonts w:ascii="Calibri" w:hAnsi="Calibri"/>
                <w:sz w:val="22"/>
              </w:rPr>
              <w:t>Operating PPNR ($M)</w:t>
            </w:r>
          </w:p>
        </w:tc>
        <w:tc>
          <w:tcPr>
            <w:tcW w:type="dxa" w:w="1234"/>
          </w:tcPr>
          <w:p>
            <w:r>
              <w:rPr>
                <w:rFonts w:ascii="Calibri" w:hAnsi="Calibri"/>
                <w:sz w:val="22"/>
              </w:rPr>
              <w:t>$772M</w:t>
            </w:r>
          </w:p>
        </w:tc>
        <w:tc>
          <w:tcPr>
            <w:tcW w:type="dxa" w:w="1234"/>
          </w:tcPr>
          <w:p>
            <w:r>
              <w:rPr>
                <w:rFonts w:ascii="Calibri" w:hAnsi="Calibri"/>
                <w:sz w:val="22"/>
              </w:rPr>
              <w:t>$686M</w:t>
            </w:r>
          </w:p>
        </w:tc>
        <w:tc>
          <w:tcPr>
            <w:tcW w:type="dxa" w:w="1234"/>
          </w:tcPr>
          <w:p>
            <w:r>
              <w:rPr>
                <w:rFonts w:ascii="Calibri" w:hAnsi="Calibri"/>
                <w:sz w:val="22"/>
              </w:rPr>
              <w:t>$746M</w:t>
            </w:r>
          </w:p>
        </w:tc>
        <w:tc>
          <w:tcPr>
            <w:tcW w:type="dxa" w:w="1234"/>
          </w:tcPr>
          <w:p>
            <w:r>
              <w:rPr>
                <w:rFonts w:ascii="Calibri" w:hAnsi="Calibri"/>
                <w:b/>
                <w:color w:val="30A46C"/>
                <w:sz w:val="22"/>
              </w:rPr>
              <w:t>+8.7%</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NIM consensus of 2.95% is below management’s guided exit of 3.05% by year-end, suggesting room for upside if repricing continues on pace.</w:t>
      </w:r>
    </w:p>
    <w:p>
      <w:pPr>
        <w:pStyle w:val="Heading3"/>
      </w:pPr>
      <w:r>
        <w:rPr>
          <w:rFonts w:ascii="Calibri" w:hAnsi="Calibri"/>
          <w:b/>
          <w:color w:val="3B4259"/>
          <w:sz w:val="24"/>
        </w:rPr>
        <w:t>Table 2 — Beat/Miss History (Last 8 Quarters, Top 2 KPIs: NII &amp; Operating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NII Reported</w:t>
            </w:r>
          </w:p>
        </w:tc>
        <w:tc>
          <w:tcPr>
            <w:tcW w:type="dxa" w:w="1080"/>
            <w:shd w:val="clear" w:color="auto" w:fill="3B4259"/>
          </w:tcPr>
          <w:p>
            <w:r>
              <w:rPr>
                <w:rFonts w:ascii="Calibri" w:hAnsi="Calibri"/>
                <w:b/>
                <w:color w:val="FFFFFF"/>
                <w:sz w:val="22"/>
              </w:rPr>
              <w:t>NII Consensus</w:t>
            </w:r>
          </w:p>
        </w:tc>
        <w:tc>
          <w:tcPr>
            <w:tcW w:type="dxa" w:w="1080"/>
            <w:shd w:val="clear" w:color="auto" w:fill="3B4259"/>
          </w:tcPr>
          <w:p>
            <w:r>
              <w:rPr>
                <w:rFonts w:ascii="Calibri" w:hAnsi="Calibri"/>
                <w:b/>
                <w:color w:val="FFFFFF"/>
                <w:sz w:val="22"/>
              </w:rPr>
              <w:t>NII Surprise</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Q2 2024</w:t>
            </w:r>
          </w:p>
        </w:tc>
        <w:tc>
          <w:tcPr>
            <w:tcW w:type="dxa" w:w="1080"/>
          </w:tcPr>
          <w:p>
            <w:r>
              <w:rPr>
                <w:rFonts w:ascii="Calibri" w:hAnsi="Calibri"/>
                <w:sz w:val="22"/>
              </w:rPr>
              <w:t>$887M</w:t>
            </w:r>
          </w:p>
        </w:tc>
        <w:tc>
          <w:tcPr>
            <w:tcW w:type="dxa" w:w="1080"/>
          </w:tcPr>
          <w:p>
            <w:r>
              <w:rPr>
                <w:rFonts w:ascii="Calibri" w:hAnsi="Calibri"/>
                <w:sz w:val="22"/>
              </w:rPr>
              <w:t>$897M</w:t>
            </w:r>
          </w:p>
        </w:tc>
        <w:tc>
          <w:tcPr>
            <w:tcW w:type="dxa" w:w="1080"/>
          </w:tcPr>
          <w:p>
            <w:r>
              <w:rPr>
                <w:rFonts w:ascii="Calibri" w:hAnsi="Calibri"/>
                <w:b/>
                <w:color w:val="E5484D"/>
                <w:sz w:val="22"/>
              </w:rPr>
              <w:t>-1.1%</w:t>
            </w:r>
          </w:p>
        </w:tc>
        <w:tc>
          <w:tcPr>
            <w:tcW w:type="dxa" w:w="1080"/>
          </w:tcPr>
          <w:p>
            <w:r>
              <w:rPr>
                <w:rFonts w:ascii="Calibri" w:hAnsi="Calibri"/>
                <w:sz w:val="22"/>
              </w:rPr>
              <w:t>$0.257</w:t>
            </w:r>
          </w:p>
        </w:tc>
        <w:tc>
          <w:tcPr>
            <w:tcW w:type="dxa" w:w="1080"/>
          </w:tcPr>
          <w:p>
            <w:r>
              <w:rPr>
                <w:rFonts w:ascii="Calibri" w:hAnsi="Calibri"/>
                <w:sz w:val="22"/>
              </w:rPr>
              <w:t>$0.238</w:t>
            </w:r>
          </w:p>
        </w:tc>
        <w:tc>
          <w:tcPr>
            <w:tcW w:type="dxa" w:w="1080"/>
          </w:tcPr>
          <w:p>
            <w:r>
              <w:rPr>
                <w:rFonts w:ascii="Calibri" w:hAnsi="Calibri"/>
                <w:b/>
                <w:color w:val="30A46C"/>
                <w:sz w:val="22"/>
              </w:rPr>
              <w:t>+8.0%</w:t>
            </w:r>
          </w:p>
        </w:tc>
        <w:tc>
          <w:tcPr>
            <w:tcW w:type="dxa" w:w="1080"/>
          </w:tcPr>
          <w:p>
            <w:r>
              <w:rPr>
                <w:rFonts w:ascii="Calibri" w:hAnsi="Calibri"/>
                <w:sz w:val="22"/>
              </w:rPr>
              <w:t>Mixed</w:t>
            </w:r>
          </w:p>
        </w:tc>
      </w:tr>
      <w:tr>
        <w:tc>
          <w:tcPr>
            <w:tcW w:type="dxa" w:w="1080"/>
          </w:tcPr>
          <w:p>
            <w:r>
              <w:rPr>
                <w:rFonts w:ascii="Calibri" w:hAnsi="Calibri"/>
                <w:sz w:val="22"/>
              </w:rPr>
              <w:t>Q3 2024</w:t>
            </w:r>
          </w:p>
        </w:tc>
        <w:tc>
          <w:tcPr>
            <w:tcW w:type="dxa" w:w="1080"/>
          </w:tcPr>
          <w:p>
            <w:r>
              <w:rPr>
                <w:rFonts w:ascii="Calibri" w:hAnsi="Calibri"/>
                <w:sz w:val="22"/>
              </w:rPr>
              <w:t>$952M</w:t>
            </w:r>
          </w:p>
        </w:tc>
        <w:tc>
          <w:tcPr>
            <w:tcW w:type="dxa" w:w="1080"/>
          </w:tcPr>
          <w:p>
            <w:r>
              <w:rPr>
                <w:rFonts w:ascii="Calibri" w:hAnsi="Calibri"/>
                <w:sz w:val="22"/>
              </w:rPr>
              <w:t>$938M</w:t>
            </w:r>
          </w:p>
        </w:tc>
        <w:tc>
          <w:tcPr>
            <w:tcW w:type="dxa" w:w="1080"/>
          </w:tcPr>
          <w:p>
            <w:r>
              <w:rPr>
                <w:rFonts w:ascii="Calibri" w:hAnsi="Calibri"/>
                <w:b/>
                <w:color w:val="30A46C"/>
                <w:sz w:val="22"/>
              </w:rPr>
              <w:t>+1.5%</w:t>
            </w:r>
          </w:p>
        </w:tc>
        <w:tc>
          <w:tcPr>
            <w:tcW w:type="dxa" w:w="1080"/>
          </w:tcPr>
          <w:p>
            <w:r>
              <w:rPr>
                <w:rFonts w:ascii="Calibri" w:hAnsi="Calibri"/>
                <w:sz w:val="22"/>
              </w:rPr>
              <w:t>$0.300</w:t>
            </w:r>
          </w:p>
        </w:tc>
        <w:tc>
          <w:tcPr>
            <w:tcW w:type="dxa" w:w="1080"/>
          </w:tcPr>
          <w:p>
            <w:r>
              <w:rPr>
                <w:rFonts w:ascii="Calibri" w:hAnsi="Calibri"/>
                <w:sz w:val="22"/>
              </w:rPr>
              <w:t>$0.277</w:t>
            </w:r>
          </w:p>
        </w:tc>
        <w:tc>
          <w:tcPr>
            <w:tcW w:type="dxa" w:w="1080"/>
          </w:tcPr>
          <w:p>
            <w:r>
              <w:rPr>
                <w:rFonts w:ascii="Calibri" w:hAnsi="Calibri"/>
                <w:b/>
                <w:color w:val="30A46C"/>
                <w:sz w:val="22"/>
              </w:rPr>
              <w:t>+8.3%</w:t>
            </w:r>
          </w:p>
        </w:tc>
        <w:tc>
          <w:tcPr>
            <w:tcW w:type="dxa" w:w="1080"/>
          </w:tcPr>
          <w:p>
            <w:r>
              <w:rPr>
                <w:rFonts w:ascii="Calibri" w:hAnsi="Calibri"/>
                <w:sz w:val="22"/>
              </w:rPr>
              <w:t>Beat</w:t>
            </w:r>
          </w:p>
        </w:tc>
      </w:tr>
      <w:tr>
        <w:tc>
          <w:tcPr>
            <w:tcW w:type="dxa" w:w="1080"/>
          </w:tcPr>
          <w:p>
            <w:r>
              <w:rPr>
                <w:rFonts w:ascii="Calibri" w:hAnsi="Calibri"/>
                <w:sz w:val="22"/>
              </w:rPr>
              <w:t>Q4 2024</w:t>
            </w:r>
          </w:p>
        </w:tc>
        <w:tc>
          <w:tcPr>
            <w:tcW w:type="dxa" w:w="1080"/>
          </w:tcPr>
          <w:p>
            <w:r>
              <w:rPr>
                <w:rFonts w:ascii="Calibri" w:hAnsi="Calibri"/>
                <w:sz w:val="22"/>
              </w:rPr>
              <w:t>$1,051M</w:t>
            </w:r>
          </w:p>
        </w:tc>
        <w:tc>
          <w:tcPr>
            <w:tcW w:type="dxa" w:w="1080"/>
          </w:tcPr>
          <w:p>
            <w:r>
              <w:rPr>
                <w:rFonts w:ascii="Calibri" w:hAnsi="Calibri"/>
                <w:sz w:val="22"/>
              </w:rPr>
              <w:t>$1,035M</w:t>
            </w:r>
          </w:p>
        </w:tc>
        <w:tc>
          <w:tcPr>
            <w:tcW w:type="dxa" w:w="1080"/>
          </w:tcPr>
          <w:p>
            <w:r>
              <w:rPr>
                <w:rFonts w:ascii="Calibri" w:hAnsi="Calibri"/>
                <w:b/>
                <w:color w:val="30A46C"/>
                <w:sz w:val="22"/>
              </w:rPr>
              <w:t>+1.5%</w:t>
            </w:r>
          </w:p>
        </w:tc>
        <w:tc>
          <w:tcPr>
            <w:tcW w:type="dxa" w:w="1080"/>
          </w:tcPr>
          <w:p>
            <w:r>
              <w:rPr>
                <w:rFonts w:ascii="Calibri" w:hAnsi="Calibri"/>
                <w:sz w:val="22"/>
              </w:rPr>
              <w:t>$0.380</w:t>
            </w:r>
          </w:p>
        </w:tc>
        <w:tc>
          <w:tcPr>
            <w:tcW w:type="dxa" w:w="1080"/>
          </w:tcPr>
          <w:p>
            <w:r>
              <w:rPr>
                <w:rFonts w:ascii="Calibri" w:hAnsi="Calibri"/>
                <w:sz w:val="22"/>
              </w:rPr>
              <w:t>$0.322</w:t>
            </w:r>
          </w:p>
        </w:tc>
        <w:tc>
          <w:tcPr>
            <w:tcW w:type="dxa" w:w="1080"/>
          </w:tcPr>
          <w:p>
            <w:r>
              <w:rPr>
                <w:rFonts w:ascii="Calibri" w:hAnsi="Calibri"/>
                <w:b/>
                <w:color w:val="30A46C"/>
                <w:sz w:val="22"/>
              </w:rPr>
              <w:t>+18.0%</w:t>
            </w:r>
          </w:p>
        </w:tc>
        <w:tc>
          <w:tcPr>
            <w:tcW w:type="dxa" w:w="1080"/>
          </w:tcPr>
          <w:p>
            <w:r>
              <w:rPr>
                <w:rFonts w:ascii="Calibri" w:hAnsi="Calibri"/>
                <w:sz w:val="22"/>
              </w:rPr>
              <w:t>Beat</w:t>
            </w:r>
          </w:p>
        </w:tc>
      </w:tr>
      <w:tr>
        <w:tc>
          <w:tcPr>
            <w:tcW w:type="dxa" w:w="1080"/>
          </w:tcPr>
          <w:p>
            <w:r>
              <w:rPr>
                <w:rFonts w:ascii="Calibri" w:hAnsi="Calibri"/>
                <w:sz w:val="22"/>
              </w:rPr>
              <w:t>Q1 2025</w:t>
            </w:r>
          </w:p>
        </w:tc>
        <w:tc>
          <w:tcPr>
            <w:tcW w:type="dxa" w:w="1080"/>
          </w:tcPr>
          <w:p>
            <w:r>
              <w:rPr>
                <w:rFonts w:ascii="Calibri" w:hAnsi="Calibri"/>
                <w:sz w:val="22"/>
              </w:rPr>
              <w:t>$1,096M</w:t>
            </w:r>
          </w:p>
        </w:tc>
        <w:tc>
          <w:tcPr>
            <w:tcW w:type="dxa" w:w="1080"/>
          </w:tcPr>
          <w:p>
            <w:r>
              <w:rPr>
                <w:rFonts w:ascii="Calibri" w:hAnsi="Calibri"/>
                <w:sz w:val="22"/>
              </w:rPr>
              <w:t>$1,090M</w:t>
            </w:r>
          </w:p>
        </w:tc>
        <w:tc>
          <w:tcPr>
            <w:tcW w:type="dxa" w:w="1080"/>
          </w:tcPr>
          <w:p>
            <w:r>
              <w:rPr>
                <w:rFonts w:ascii="Calibri" w:hAnsi="Calibri"/>
                <w:b/>
                <w:color w:val="30A46C"/>
                <w:sz w:val="22"/>
              </w:rPr>
              <w:t>+0.6%</w:t>
            </w:r>
          </w:p>
        </w:tc>
        <w:tc>
          <w:tcPr>
            <w:tcW w:type="dxa" w:w="1080"/>
          </w:tcPr>
          <w:p>
            <w:r>
              <w:rPr>
                <w:rFonts w:ascii="Calibri" w:hAnsi="Calibri"/>
                <w:sz w:val="22"/>
              </w:rPr>
              <w:t>$0.335</w:t>
            </w:r>
          </w:p>
        </w:tc>
        <w:tc>
          <w:tcPr>
            <w:tcW w:type="dxa" w:w="1080"/>
          </w:tcPr>
          <w:p>
            <w:r>
              <w:rPr>
                <w:rFonts w:ascii="Calibri" w:hAnsi="Calibri"/>
                <w:sz w:val="22"/>
              </w:rPr>
              <w:t>$0.318</w:t>
            </w:r>
          </w:p>
        </w:tc>
        <w:tc>
          <w:tcPr>
            <w:tcW w:type="dxa" w:w="1080"/>
          </w:tcPr>
          <w:p>
            <w:r>
              <w:rPr>
                <w:rFonts w:ascii="Calibri" w:hAnsi="Calibri"/>
                <w:b/>
                <w:color w:val="30A46C"/>
                <w:sz w:val="22"/>
              </w:rPr>
              <w:t>+5.3%</w:t>
            </w:r>
          </w:p>
        </w:tc>
        <w:tc>
          <w:tcPr>
            <w:tcW w:type="dxa" w:w="1080"/>
          </w:tcPr>
          <w:p>
            <w:r>
              <w:rPr>
                <w:rFonts w:ascii="Calibri" w:hAnsi="Calibri"/>
                <w:sz w:val="22"/>
              </w:rPr>
              <w:t>Beat</w:t>
            </w:r>
          </w:p>
        </w:tc>
      </w:tr>
      <w:tr>
        <w:tc>
          <w:tcPr>
            <w:tcW w:type="dxa" w:w="1080"/>
          </w:tcPr>
          <w:p>
            <w:r>
              <w:rPr>
                <w:rFonts w:ascii="Calibri" w:hAnsi="Calibri"/>
                <w:sz w:val="22"/>
              </w:rPr>
              <w:t>Q2 2025</w:t>
            </w:r>
          </w:p>
        </w:tc>
        <w:tc>
          <w:tcPr>
            <w:tcW w:type="dxa" w:w="1080"/>
          </w:tcPr>
          <w:p>
            <w:r>
              <w:rPr>
                <w:rFonts w:ascii="Calibri" w:hAnsi="Calibri"/>
                <w:sz w:val="22"/>
              </w:rPr>
              <w:t>$1,141M</w:t>
            </w:r>
          </w:p>
        </w:tc>
        <w:tc>
          <w:tcPr>
            <w:tcW w:type="dxa" w:w="1080"/>
          </w:tcPr>
          <w:p>
            <w:r>
              <w:rPr>
                <w:rFonts w:ascii="Calibri" w:hAnsi="Calibri"/>
                <w:sz w:val="22"/>
              </w:rPr>
              <w:t>$1,135M</w:t>
            </w:r>
          </w:p>
        </w:tc>
        <w:tc>
          <w:tcPr>
            <w:tcW w:type="dxa" w:w="1080"/>
          </w:tcPr>
          <w:p>
            <w:r>
              <w:rPr>
                <w:rFonts w:ascii="Calibri" w:hAnsi="Calibri"/>
                <w:b/>
                <w:color w:val="30A46C"/>
                <w:sz w:val="22"/>
              </w:rPr>
              <w:t>+0.5%</w:t>
            </w:r>
          </w:p>
        </w:tc>
        <w:tc>
          <w:tcPr>
            <w:tcW w:type="dxa" w:w="1080"/>
          </w:tcPr>
          <w:p>
            <w:r>
              <w:rPr>
                <w:rFonts w:ascii="Calibri" w:hAnsi="Calibri"/>
                <w:sz w:val="22"/>
              </w:rPr>
              <w:t>$0.350</w:t>
            </w:r>
          </w:p>
        </w:tc>
        <w:tc>
          <w:tcPr>
            <w:tcW w:type="dxa" w:w="1080"/>
          </w:tcPr>
          <w:p>
            <w:r>
              <w:rPr>
                <w:rFonts w:ascii="Calibri" w:hAnsi="Calibri"/>
                <w:sz w:val="22"/>
              </w:rPr>
              <w:t>$0.343</w:t>
            </w:r>
          </w:p>
        </w:tc>
        <w:tc>
          <w:tcPr>
            <w:tcW w:type="dxa" w:w="1080"/>
          </w:tcPr>
          <w:p>
            <w:r>
              <w:rPr>
                <w:rFonts w:ascii="Calibri" w:hAnsi="Calibri"/>
                <w:b/>
                <w:color w:val="30A46C"/>
                <w:sz w:val="22"/>
              </w:rPr>
              <w:t>+2.0%</w:t>
            </w:r>
          </w:p>
        </w:tc>
        <w:tc>
          <w:tcPr>
            <w:tcW w:type="dxa" w:w="1080"/>
          </w:tcPr>
          <w:p>
            <w:r>
              <w:rPr>
                <w:rFonts w:ascii="Calibri" w:hAnsi="Calibri"/>
                <w:sz w:val="22"/>
              </w:rPr>
              <w:t>Beat</w:t>
            </w:r>
          </w:p>
        </w:tc>
      </w:tr>
      <w:tr>
        <w:tc>
          <w:tcPr>
            <w:tcW w:type="dxa" w:w="1080"/>
          </w:tcPr>
          <w:p>
            <w:r>
              <w:rPr>
                <w:rFonts w:ascii="Calibri" w:hAnsi="Calibri"/>
                <w:sz w:val="22"/>
              </w:rPr>
              <w:t>Q3 2025</w:t>
            </w:r>
          </w:p>
        </w:tc>
        <w:tc>
          <w:tcPr>
            <w:tcW w:type="dxa" w:w="1080"/>
          </w:tcPr>
          <w:p>
            <w:r>
              <w:rPr>
                <w:rFonts w:ascii="Calibri" w:hAnsi="Calibri"/>
                <w:sz w:val="22"/>
              </w:rPr>
              <w:t>$1,184M</w:t>
            </w:r>
          </w:p>
        </w:tc>
        <w:tc>
          <w:tcPr>
            <w:tcW w:type="dxa" w:w="1080"/>
          </w:tcPr>
          <w:p>
            <w:r>
              <w:rPr>
                <w:rFonts w:ascii="Calibri" w:hAnsi="Calibri"/>
                <w:sz w:val="22"/>
              </w:rPr>
              <w:t>$1,175M</w:t>
            </w:r>
          </w:p>
        </w:tc>
        <w:tc>
          <w:tcPr>
            <w:tcW w:type="dxa" w:w="1080"/>
          </w:tcPr>
          <w:p>
            <w:r>
              <w:rPr>
                <w:rFonts w:ascii="Calibri" w:hAnsi="Calibri"/>
                <w:b/>
                <w:color w:val="30A46C"/>
                <w:sz w:val="22"/>
              </w:rPr>
              <w:t>+0.8%</w:t>
            </w:r>
          </w:p>
        </w:tc>
        <w:tc>
          <w:tcPr>
            <w:tcW w:type="dxa" w:w="1080"/>
          </w:tcPr>
          <w:p>
            <w:r>
              <w:rPr>
                <w:rFonts w:ascii="Calibri" w:hAnsi="Calibri"/>
                <w:sz w:val="22"/>
              </w:rPr>
              <w:t>$0.410</w:t>
            </w:r>
          </w:p>
        </w:tc>
        <w:tc>
          <w:tcPr>
            <w:tcW w:type="dxa" w:w="1080"/>
          </w:tcPr>
          <w:p>
            <w:r>
              <w:rPr>
                <w:rFonts w:ascii="Calibri" w:hAnsi="Calibri"/>
                <w:sz w:val="22"/>
              </w:rPr>
              <w:t>$0.382</w:t>
            </w:r>
          </w:p>
        </w:tc>
        <w:tc>
          <w:tcPr>
            <w:tcW w:type="dxa" w:w="1080"/>
          </w:tcPr>
          <w:p>
            <w:r>
              <w:rPr>
                <w:rFonts w:ascii="Calibri" w:hAnsi="Calibri"/>
                <w:b/>
                <w:color w:val="30A46C"/>
                <w:sz w:val="22"/>
              </w:rPr>
              <w:t>+7.3%</w:t>
            </w:r>
          </w:p>
        </w:tc>
        <w:tc>
          <w:tcPr>
            <w:tcW w:type="dxa" w:w="1080"/>
          </w:tcPr>
          <w:p>
            <w:r>
              <w:rPr>
                <w:rFonts w:ascii="Calibri" w:hAnsi="Calibri"/>
                <w:sz w:val="22"/>
              </w:rPr>
              <w:t>Beat</w:t>
            </w:r>
          </w:p>
        </w:tc>
      </w:tr>
      <w:tr>
        <w:tc>
          <w:tcPr>
            <w:tcW w:type="dxa" w:w="1080"/>
          </w:tcPr>
          <w:p>
            <w:r>
              <w:rPr>
                <w:rFonts w:ascii="Calibri" w:hAnsi="Calibri"/>
                <w:sz w:val="22"/>
              </w:rPr>
              <w:t>Q4 2025</w:t>
            </w:r>
          </w:p>
        </w:tc>
        <w:tc>
          <w:tcPr>
            <w:tcW w:type="dxa" w:w="1080"/>
          </w:tcPr>
          <w:p>
            <w:r>
              <w:rPr>
                <w:rFonts w:ascii="Calibri" w:hAnsi="Calibri"/>
                <w:sz w:val="22"/>
              </w:rPr>
              <w:t>$1,215M</w:t>
            </w:r>
          </w:p>
        </w:tc>
        <w:tc>
          <w:tcPr>
            <w:tcW w:type="dxa" w:w="1080"/>
          </w:tcPr>
          <w:p>
            <w:r>
              <w:rPr>
                <w:rFonts w:ascii="Calibri" w:hAnsi="Calibri"/>
                <w:sz w:val="22"/>
              </w:rPr>
              <w:t>$1,203M</w:t>
            </w:r>
          </w:p>
        </w:tc>
        <w:tc>
          <w:tcPr>
            <w:tcW w:type="dxa" w:w="1080"/>
          </w:tcPr>
          <w:p>
            <w:r>
              <w:rPr>
                <w:rFonts w:ascii="Calibri" w:hAnsi="Calibri"/>
                <w:b/>
                <w:color w:val="30A46C"/>
                <w:sz w:val="22"/>
              </w:rPr>
              <w:t>+1.0%</w:t>
            </w:r>
          </w:p>
        </w:tc>
        <w:tc>
          <w:tcPr>
            <w:tcW w:type="dxa" w:w="1080"/>
          </w:tcPr>
          <w:p>
            <w:r>
              <w:rPr>
                <w:rFonts w:ascii="Calibri" w:hAnsi="Calibri"/>
                <w:sz w:val="22"/>
              </w:rPr>
              <w:t>$0.410</w:t>
            </w:r>
          </w:p>
        </w:tc>
        <w:tc>
          <w:tcPr>
            <w:tcW w:type="dxa" w:w="1080"/>
          </w:tcPr>
          <w:p>
            <w:r>
              <w:rPr>
                <w:rFonts w:ascii="Calibri" w:hAnsi="Calibri"/>
                <w:sz w:val="22"/>
              </w:rPr>
              <w:t>$0.385</w:t>
            </w:r>
          </w:p>
        </w:tc>
        <w:tc>
          <w:tcPr>
            <w:tcW w:type="dxa" w:w="1080"/>
          </w:tcPr>
          <w:p>
            <w:r>
              <w:rPr>
                <w:rFonts w:ascii="Calibri" w:hAnsi="Calibri"/>
                <w:b/>
                <w:color w:val="30A46C"/>
                <w:sz w:val="22"/>
              </w:rPr>
              <w:t>+6.5%</w:t>
            </w:r>
          </w:p>
        </w:tc>
        <w:tc>
          <w:tcPr>
            <w:tcW w:type="dxa" w:w="1080"/>
          </w:tcPr>
          <w:p>
            <w:r>
              <w:rPr>
                <w:rFonts w:ascii="Calibri" w:hAnsi="Calibri"/>
                <w:sz w:val="22"/>
              </w:rPr>
              <w:t>Beat</w:t>
            </w:r>
          </w:p>
        </w:tc>
      </w:tr>
      <w:tr>
        <w:tc>
          <w:tcPr>
            <w:tcW w:type="dxa" w:w="1080"/>
          </w:tcPr>
          <w:p>
            <w:r>
              <w:rPr>
                <w:rFonts w:ascii="Calibri" w:hAnsi="Calibri"/>
                <w:sz w:val="22"/>
              </w:rPr>
              <w:t>Q1 2026</w:t>
            </w:r>
          </w:p>
        </w:tc>
        <w:tc>
          <w:tcPr>
            <w:tcW w:type="dxa" w:w="1080"/>
          </w:tcPr>
          <w:p>
            <w:r>
              <w:rPr>
                <w:rFonts w:ascii="Calibri" w:hAnsi="Calibri"/>
                <w:sz w:val="22"/>
              </w:rPr>
              <w:t>$1,222M</w:t>
            </w:r>
          </w:p>
        </w:tc>
        <w:tc>
          <w:tcPr>
            <w:tcW w:type="dxa" w:w="1080"/>
          </w:tcPr>
          <w:p>
            <w:r>
              <w:rPr>
                <w:rFonts w:ascii="Calibri" w:hAnsi="Calibri"/>
                <w:sz w:val="22"/>
              </w:rPr>
              <w:t>$1,220M</w:t>
            </w:r>
          </w:p>
        </w:tc>
        <w:tc>
          <w:tcPr>
            <w:tcW w:type="dxa" w:w="1080"/>
          </w:tcPr>
          <w:p>
            <w:r>
              <w:rPr>
                <w:rFonts w:ascii="Calibri" w:hAnsi="Calibri"/>
                <w:b/>
                <w:color w:val="30A46C"/>
                <w:sz w:val="22"/>
              </w:rPr>
              <w:t>+0.2%</w:t>
            </w:r>
          </w:p>
        </w:tc>
        <w:tc>
          <w:tcPr>
            <w:tcW w:type="dxa" w:w="1080"/>
          </w:tcPr>
          <w:p>
            <w:r>
              <w:rPr>
                <w:rFonts w:ascii="Calibri" w:hAnsi="Calibri"/>
                <w:sz w:val="22"/>
              </w:rPr>
              <w:t>$0.440</w:t>
            </w:r>
          </w:p>
        </w:tc>
        <w:tc>
          <w:tcPr>
            <w:tcW w:type="dxa" w:w="1080"/>
          </w:tcPr>
          <w:p>
            <w:r>
              <w:rPr>
                <w:rFonts w:ascii="Calibri" w:hAnsi="Calibri"/>
                <w:sz w:val="22"/>
              </w:rPr>
              <w:t>$0.413</w:t>
            </w:r>
          </w:p>
        </w:tc>
        <w:tc>
          <w:tcPr>
            <w:tcW w:type="dxa" w:w="1080"/>
          </w:tcPr>
          <w:p>
            <w:r>
              <w:rPr>
                <w:rFonts w:ascii="Calibri" w:hAnsi="Calibri"/>
                <w:b/>
                <w:color w:val="30A46C"/>
                <w:sz w:val="22"/>
              </w:rPr>
              <w:t>+6.5%</w:t>
            </w:r>
          </w:p>
        </w:tc>
        <w:tc>
          <w:tcPr>
            <w:tcW w:type="dxa" w:w="108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KEY has beaten NII consensus in 7 of the last 8 quarters and beaten Operating EPS in all 8. NII beats have been modest (0.2–1.5%), while EPS beats have been more consistent and larger (2–18%). The trend of consistent beats supports a constructive setup, though the magnitude of NII beats has narrowed — Q1 2026 was only +0.2%.</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Guidance was raised at Q1 earnings and reiterated at the Morgan Stanley conference</w:t>
      </w:r>
      <w:r>
        <w:rPr>
          <w:rFonts w:ascii="Calibri" w:hAnsi="Calibri"/>
          <w:color w:val="525866"/>
          <w:sz w:val="22"/>
        </w:rPr>
        <w:t xml:space="preserve"> — no changes since, with management expressing confidence across NII, NIM, loan growth, and buybacks. The only area of acknowledged uncertainty is the </w:t>
      </w:r>
      <w:r>
        <w:rPr>
          <w:rFonts w:ascii="Calibri" w:hAnsi="Calibri"/>
          <w:b/>
          <w:color w:val="525866"/>
          <w:sz w:val="22"/>
        </w:rPr>
        <w:t>timing of middle-market M&amp;A conversion.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16)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NII Growth</w:t>
            </w:r>
          </w:p>
        </w:tc>
        <w:tc>
          <w:tcPr>
            <w:tcW w:type="dxa" w:w="1728"/>
          </w:tcPr>
          <w:p>
            <w:r>
              <w:rPr>
                <w:rFonts w:ascii="Calibri" w:hAnsi="Calibri"/>
                <w:sz w:val="22"/>
              </w:rPr>
              <w:t>9–10% YoY (raised from 8–10%)</w:t>
            </w:r>
          </w:p>
        </w:tc>
        <w:tc>
          <w:tcPr>
            <w:tcW w:type="dxa" w:w="1728"/>
          </w:tcPr>
          <w:p>
            <w:r>
              <w:rPr>
                <w:rFonts w:ascii="Calibri" w:hAnsi="Calibri"/>
                <w:sz w:val="22"/>
              </w:rPr>
              <w:t>— Unchanged</w:t>
            </w:r>
          </w:p>
        </w:tc>
        <w:tc>
          <w:tcPr>
            <w:tcW w:type="dxa" w:w="1728"/>
          </w:tcPr>
          <w:p>
            <w:r>
              <w:rPr>
                <w:rFonts w:ascii="Calibri" w:hAnsi="Calibri"/>
                <w:sz w:val="22"/>
              </w:rPr>
              <w:t>~8.5% implied ($5.10B cons.)</w:t>
            </w:r>
          </w:p>
        </w:tc>
        <w:tc>
          <w:tcPr>
            <w:tcW w:type="dxa" w:w="1728"/>
          </w:tcPr>
          <w:p>
            <w:r>
              <w:rPr>
                <w:rFonts w:ascii="Calibri" w:hAnsi="Calibri"/>
                <w:sz w:val="22"/>
              </w:rPr>
              <w:t>Reiterated at MS Conference Jun 10</w:t>
            </w:r>
          </w:p>
        </w:tc>
      </w:tr>
      <w:tr>
        <w:tc>
          <w:tcPr>
            <w:tcW w:type="dxa" w:w="1728"/>
          </w:tcPr>
          <w:p>
            <w:r>
              <w:rPr>
                <w:rFonts w:ascii="Calibri" w:hAnsi="Calibri"/>
                <w:sz w:val="22"/>
              </w:rPr>
              <w:t>NIM Exit (Q4 2026)</w:t>
            </w:r>
          </w:p>
        </w:tc>
        <w:tc>
          <w:tcPr>
            <w:tcW w:type="dxa" w:w="1728"/>
          </w:tcPr>
          <w:p>
            <w:r>
              <w:rPr>
                <w:rFonts w:ascii="Calibri" w:hAnsi="Calibri"/>
                <w:sz w:val="22"/>
              </w:rPr>
              <w:t>~3.05% on stable earning assets</w:t>
            </w:r>
          </w:p>
        </w:tc>
        <w:tc>
          <w:tcPr>
            <w:tcW w:type="dxa" w:w="1728"/>
          </w:tcPr>
          <w:p>
            <w:r>
              <w:rPr>
                <w:rFonts w:ascii="Calibri" w:hAnsi="Calibri"/>
                <w:sz w:val="22"/>
              </w:rPr>
              <w:t>— Unchanged</w:t>
            </w:r>
          </w:p>
        </w:tc>
        <w:tc>
          <w:tcPr>
            <w:tcW w:type="dxa" w:w="1728"/>
          </w:tcPr>
          <w:p>
            <w:r>
              <w:rPr>
                <w:rFonts w:ascii="Calibri" w:hAnsi="Calibri"/>
                <w:sz w:val="22"/>
              </w:rPr>
              <w:t>2.97% FY avg consensus</w:t>
            </w:r>
          </w:p>
        </w:tc>
        <w:tc>
          <w:tcPr>
            <w:tcW w:type="dxa" w:w="1728"/>
          </w:tcPr>
          <w:p>
            <w:r>
              <w:rPr>
                <w:rFonts w:ascii="Calibri" w:hAnsi="Calibri"/>
                <w:sz w:val="22"/>
              </w:rPr>
              <w:t>Reiterated; assumes no rate cuts in 2026</w:t>
            </w:r>
          </w:p>
        </w:tc>
      </w:tr>
      <w:tr>
        <w:tc>
          <w:tcPr>
            <w:tcW w:type="dxa" w:w="1728"/>
          </w:tcPr>
          <w:p>
            <w:r>
              <w:rPr>
                <w:rFonts w:ascii="Calibri" w:hAnsi="Calibri"/>
                <w:sz w:val="22"/>
              </w:rPr>
              <w:t>NIM Long-Term (Q4 2027)</w:t>
            </w:r>
          </w:p>
        </w:tc>
        <w:tc>
          <w:tcPr>
            <w:tcW w:type="dxa" w:w="1728"/>
          </w:tcPr>
          <w:p>
            <w:r>
              <w:rPr>
                <w:rFonts w:ascii="Calibri" w:hAnsi="Calibri"/>
                <w:sz w:val="22"/>
              </w:rPr>
              <w:t>~3.25%+</w:t>
            </w:r>
          </w:p>
        </w:tc>
        <w:tc>
          <w:tcPr>
            <w:tcW w:type="dxa" w:w="1728"/>
          </w:tcPr>
          <w:p>
            <w:r>
              <w:rPr>
                <w:rFonts w:ascii="Calibri" w:hAnsi="Calibri"/>
                <w:sz w:val="22"/>
              </w:rPr>
              <w:t>— Unchanged</w:t>
            </w:r>
          </w:p>
        </w:tc>
        <w:tc>
          <w:tcPr>
            <w:tcW w:type="dxa" w:w="1728"/>
          </w:tcPr>
          <w:p>
            <w:r>
              <w:rPr>
                <w:rFonts w:ascii="Calibri" w:hAnsi="Calibri"/>
                <w:sz w:val="22"/>
              </w:rPr>
              <w:t>3.15% FY 2027 consensus</w:t>
            </w:r>
          </w:p>
        </w:tc>
        <w:tc>
          <w:tcPr>
            <w:tcW w:type="dxa" w:w="1728"/>
          </w:tcPr>
          <w:p>
            <w:r>
              <w:rPr>
                <w:rFonts w:ascii="Calibri" w:hAnsi="Calibri"/>
                <w:sz w:val="22"/>
              </w:rPr>
              <w:t>Reiterated at MS Conference Jun 10</w:t>
            </w:r>
          </w:p>
        </w:tc>
      </w:tr>
      <w:tr>
        <w:tc>
          <w:tcPr>
            <w:tcW w:type="dxa" w:w="1728"/>
          </w:tcPr>
          <w:p>
            <w:r>
              <w:rPr>
                <w:rFonts w:ascii="Calibri" w:hAnsi="Calibri"/>
                <w:sz w:val="22"/>
              </w:rPr>
              <w:t>IB Fees — Q2 2026</w:t>
            </w:r>
          </w:p>
        </w:tc>
        <w:tc>
          <w:tcPr>
            <w:tcW w:type="dxa" w:w="1728"/>
          </w:tcPr>
          <w:p>
            <w:r>
              <w:rPr>
                <w:rFonts w:ascii="Calibri" w:hAnsi="Calibri"/>
                <w:sz w:val="22"/>
              </w:rPr>
              <w:t>$175–180M</w:t>
            </w:r>
          </w:p>
        </w:tc>
        <w:tc>
          <w:tcPr>
            <w:tcW w:type="dxa" w:w="1728"/>
          </w:tcPr>
          <w:p>
            <w:r>
              <w:rPr>
                <w:rFonts w:ascii="Calibri" w:hAnsi="Calibri"/>
                <w:sz w:val="22"/>
              </w:rPr>
              <w:t>— Unchanged</w:t>
            </w:r>
          </w:p>
        </w:tc>
        <w:tc>
          <w:tcPr>
            <w:tcW w:type="dxa" w:w="1728"/>
          </w:tcPr>
          <w:p>
            <w:r>
              <w:rPr>
                <w:rFonts w:ascii="Calibri" w:hAnsi="Calibri"/>
                <w:sz w:val="22"/>
              </w:rPr>
              <w:t>$179M</w:t>
            </w:r>
          </w:p>
        </w:tc>
        <w:tc>
          <w:tcPr>
            <w:tcW w:type="dxa" w:w="1728"/>
          </w:tcPr>
          <w:p>
            <w:r>
              <w:rPr>
                <w:rFonts w:ascii="Calibri" w:hAnsi="Calibri"/>
                <w:sz w:val="22"/>
              </w:rPr>
              <w:t>Reiterated at MS Conference Jun 10</w:t>
            </w:r>
          </w:p>
        </w:tc>
      </w:tr>
      <w:tr>
        <w:tc>
          <w:tcPr>
            <w:tcW w:type="dxa" w:w="1728"/>
          </w:tcPr>
          <w:p>
            <w:r>
              <w:rPr>
                <w:rFonts w:ascii="Calibri" w:hAnsi="Calibri"/>
                <w:sz w:val="22"/>
              </w:rPr>
              <w:t>IB Fees — Full Year 2026</w:t>
            </w:r>
          </w:p>
        </w:tc>
        <w:tc>
          <w:tcPr>
            <w:tcW w:type="dxa" w:w="1728"/>
          </w:tcPr>
          <w:p>
            <w:r>
              <w:rPr>
                <w:rFonts w:ascii="Calibri" w:hAnsi="Calibri"/>
                <w:sz w:val="22"/>
              </w:rPr>
              <w:t>Mid-single digits (5–6% YoY, ~$825M)</w:t>
            </w:r>
          </w:p>
        </w:tc>
        <w:tc>
          <w:tcPr>
            <w:tcW w:type="dxa" w:w="1728"/>
          </w:tcPr>
          <w:p>
            <w:r>
              <w:rPr>
                <w:rFonts w:ascii="Calibri" w:hAnsi="Calibri"/>
                <w:sz w:val="22"/>
              </w:rPr>
              <w:t>— Unchanged</w:t>
            </w:r>
          </w:p>
        </w:tc>
        <w:tc>
          <w:tcPr>
            <w:tcW w:type="dxa" w:w="1728"/>
          </w:tcPr>
          <w:p>
            <w:r>
              <w:rPr>
                <w:rFonts w:ascii="Calibri" w:hAnsi="Calibri"/>
                <w:sz w:val="22"/>
              </w:rPr>
              <w:t>$824M consensus</w:t>
            </w:r>
          </w:p>
        </w:tc>
        <w:tc>
          <w:tcPr>
            <w:tcW w:type="dxa" w:w="1728"/>
          </w:tcPr>
          <w:p>
            <w:r>
              <w:rPr>
                <w:rFonts w:ascii="Calibri" w:hAnsi="Calibri"/>
                <w:sz w:val="22"/>
              </w:rPr>
              <w:t>On track per management; M&amp;A conversion still awaited</w:t>
            </w:r>
          </w:p>
        </w:tc>
      </w:tr>
      <w:tr>
        <w:tc>
          <w:tcPr>
            <w:tcW w:type="dxa" w:w="1728"/>
          </w:tcPr>
          <w:p>
            <w:r>
              <w:rPr>
                <w:rFonts w:ascii="Calibri" w:hAnsi="Calibri"/>
                <w:sz w:val="22"/>
              </w:rPr>
              <w:t>Average Loan Growth FY</w:t>
            </w:r>
          </w:p>
        </w:tc>
        <w:tc>
          <w:tcPr>
            <w:tcW w:type="dxa" w:w="1728"/>
          </w:tcPr>
          <w:p>
            <w:r>
              <w:rPr>
                <w:rFonts w:ascii="Calibri" w:hAnsi="Calibri"/>
                <w:sz w:val="22"/>
              </w:rPr>
              <w:t>2–4% total; 6–8% commercial (raised from 1–2%)</w:t>
            </w:r>
          </w:p>
        </w:tc>
        <w:tc>
          <w:tcPr>
            <w:tcW w:type="dxa" w:w="1728"/>
          </w:tcPr>
          <w:p>
            <w:r>
              <w:rPr>
                <w:rFonts w:ascii="Calibri" w:hAnsi="Calibri"/>
                <w:sz w:val="22"/>
              </w:rPr>
              <w:t>Potential upside if Q2 pace continues</w:t>
            </w:r>
          </w:p>
        </w:tc>
        <w:tc>
          <w:tcPr>
            <w:tcW w:type="dxa" w:w="1728"/>
          </w:tcPr>
          <w:p>
            <w:r>
              <w:rPr>
                <w:rFonts w:ascii="Calibri" w:hAnsi="Calibri"/>
                <w:sz w:val="22"/>
              </w:rPr>
              <w:t>~3% total implied</w:t>
            </w:r>
          </w:p>
        </w:tc>
        <w:tc>
          <w:tcPr>
            <w:tcW w:type="dxa" w:w="1728"/>
          </w:tcPr>
          <w:p>
            <w:r>
              <w:rPr>
                <w:rFonts w:ascii="Calibri" w:hAnsi="Calibri"/>
                <w:sz w:val="22"/>
              </w:rPr>
              <w:t>Management may revisit early Q3 if growth continues</w:t>
            </w:r>
          </w:p>
        </w:tc>
      </w:tr>
      <w:tr>
        <w:tc>
          <w:tcPr>
            <w:tcW w:type="dxa" w:w="1728"/>
          </w:tcPr>
          <w:p>
            <w:r>
              <w:rPr>
                <w:rFonts w:ascii="Calibri" w:hAnsi="Calibri"/>
                <w:sz w:val="22"/>
              </w:rPr>
              <w:t>Expense Growth FY</w:t>
            </w:r>
          </w:p>
        </w:tc>
        <w:tc>
          <w:tcPr>
            <w:tcW w:type="dxa" w:w="1728"/>
          </w:tcPr>
          <w:p>
            <w:r>
              <w:rPr>
                <w:rFonts w:ascii="Calibri" w:hAnsi="Calibri"/>
                <w:sz w:val="22"/>
              </w:rPr>
              <w:t>3–4%</w:t>
            </w:r>
          </w:p>
        </w:tc>
        <w:tc>
          <w:tcPr>
            <w:tcW w:type="dxa" w:w="1728"/>
          </w:tcPr>
          <w:p>
            <w:r>
              <w:rPr>
                <w:rFonts w:ascii="Calibri" w:hAnsi="Calibri"/>
                <w:sz w:val="22"/>
              </w:rPr>
              <w:t>— Unchanged</w:t>
            </w:r>
          </w:p>
        </w:tc>
        <w:tc>
          <w:tcPr>
            <w:tcW w:type="dxa" w:w="1728"/>
          </w:tcPr>
          <w:p>
            <w:r>
              <w:rPr>
                <w:rFonts w:ascii="Calibri" w:hAnsi="Calibri"/>
                <w:sz w:val="22"/>
              </w:rPr>
              <w:t>~3.5% implied</w:t>
            </w:r>
          </w:p>
        </w:tc>
        <w:tc>
          <w:tcPr>
            <w:tcW w:type="dxa" w:w="1728"/>
          </w:tcPr>
          <w:p>
            <w:r>
              <w:rPr>
                <w:rFonts w:ascii="Calibri" w:hAnsi="Calibri"/>
                <w:sz w:val="22"/>
              </w:rPr>
              <w:t>Q2 guided 3.5–4% QoQ; H2 to plateau</w:t>
            </w:r>
          </w:p>
        </w:tc>
      </w:tr>
      <w:tr>
        <w:tc>
          <w:tcPr>
            <w:tcW w:type="dxa" w:w="1728"/>
          </w:tcPr>
          <w:p>
            <w:r>
              <w:rPr>
                <w:rFonts w:ascii="Calibri" w:hAnsi="Calibri"/>
                <w:sz w:val="22"/>
              </w:rPr>
              <w:t>Net Charge-Offs</w:t>
            </w:r>
          </w:p>
        </w:tc>
        <w:tc>
          <w:tcPr>
            <w:tcW w:type="dxa" w:w="1728"/>
          </w:tcPr>
          <w:p>
            <w:r>
              <w:rPr>
                <w:rFonts w:ascii="Calibri" w:hAnsi="Calibri"/>
                <w:sz w:val="22"/>
              </w:rPr>
              <w:t>~40bps</w:t>
            </w:r>
          </w:p>
        </w:tc>
        <w:tc>
          <w:tcPr>
            <w:tcW w:type="dxa" w:w="1728"/>
          </w:tcPr>
          <w:p>
            <w:r>
              <w:rPr>
                <w:rFonts w:ascii="Calibri" w:hAnsi="Calibri"/>
                <w:sz w:val="22"/>
              </w:rPr>
              <w:t>— Unchanged</w:t>
            </w:r>
          </w:p>
        </w:tc>
        <w:tc>
          <w:tcPr>
            <w:tcW w:type="dxa" w:w="1728"/>
          </w:tcPr>
          <w:p>
            <w:r>
              <w:rPr>
                <w:rFonts w:ascii="Calibri" w:hAnsi="Calibri"/>
                <w:sz w:val="22"/>
              </w:rPr>
              <w:t>40.6bps consensus</w:t>
            </w:r>
          </w:p>
        </w:tc>
        <w:tc>
          <w:tcPr>
            <w:tcW w:type="dxa" w:w="1728"/>
          </w:tcPr>
          <w:p>
            <w:r>
              <w:rPr>
                <w:rFonts w:ascii="Calibri" w:hAnsi="Calibri"/>
                <w:sz w:val="22"/>
              </w:rPr>
              <w:t>Reiterated “40-ish” at MS Conference; possible plateau in oil/ag/transport</w:t>
            </w:r>
          </w:p>
        </w:tc>
      </w:tr>
      <w:tr>
        <w:tc>
          <w:tcPr>
            <w:tcW w:type="dxa" w:w="1728"/>
          </w:tcPr>
          <w:p>
            <w:r>
              <w:rPr>
                <w:rFonts w:ascii="Calibri" w:hAnsi="Calibri"/>
                <w:sz w:val="22"/>
              </w:rPr>
              <w:t>Share Buybacks FY</w:t>
            </w:r>
          </w:p>
        </w:tc>
        <w:tc>
          <w:tcPr>
            <w:tcW w:type="dxa" w:w="1728"/>
          </w:tcPr>
          <w:p>
            <w:r>
              <w:rPr>
                <w:rFonts w:ascii="Calibri" w:hAnsi="Calibri"/>
                <w:sz w:val="22"/>
              </w:rPr>
              <w:t>At least $1.3B (raised from $1.2B)</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Characterized as “floor”; $3B auth. approved May 14</w:t>
            </w:r>
          </w:p>
        </w:tc>
      </w:tr>
      <w:tr>
        <w:tc>
          <w:tcPr>
            <w:tcW w:type="dxa" w:w="1728"/>
          </w:tcPr>
          <w:p>
            <w:r>
              <w:rPr>
                <w:rFonts w:ascii="Calibri" w:hAnsi="Calibri"/>
                <w:sz w:val="22"/>
              </w:rPr>
              <w:t>ROTCE Target</w:t>
            </w:r>
          </w:p>
        </w:tc>
        <w:tc>
          <w:tcPr>
            <w:tcW w:type="dxa" w:w="1728"/>
          </w:tcPr>
          <w:p>
            <w:r>
              <w:rPr>
                <w:rFonts w:ascii="Calibri" w:hAnsi="Calibri"/>
                <w:sz w:val="22"/>
              </w:rPr>
              <w:t>15%+ by YE 2027</w:t>
            </w:r>
          </w:p>
        </w:tc>
        <w:tc>
          <w:tcPr>
            <w:tcW w:type="dxa" w:w="1728"/>
          </w:tcPr>
          <w:p>
            <w:r>
              <w:rPr>
                <w:rFonts w:ascii="Calibri" w:hAnsi="Calibri"/>
                <w:sz w:val="22"/>
              </w:rPr>
              <w:t>— Unchanged</w:t>
            </w:r>
          </w:p>
        </w:tc>
        <w:tc>
          <w:tcPr>
            <w:tcW w:type="dxa" w:w="1728"/>
          </w:tcPr>
          <w:p>
            <w:r>
              <w:rPr>
                <w:rFonts w:ascii="Calibri" w:hAnsi="Calibri"/>
                <w:sz w:val="22"/>
              </w:rPr>
              <w:t>13.2% FY 2026 consensus</w:t>
            </w:r>
          </w:p>
        </w:tc>
        <w:tc>
          <w:tcPr>
            <w:tcW w:type="dxa" w:w="1728"/>
          </w:tcPr>
          <w:p>
            <w:r>
              <w:rPr>
                <w:rFonts w:ascii="Calibri" w:hAnsi="Calibri"/>
                <w:sz w:val="22"/>
              </w:rPr>
              <w:t>On track; Q1 2026 at 12.98%</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Estimates have been broadly stable since Q1 earnings</w:t>
      </w:r>
      <w:r>
        <w:rPr>
          <w:rFonts w:ascii="Calibri" w:hAnsi="Calibri"/>
          <w:color w:val="525866"/>
          <w:sz w:val="22"/>
        </w:rPr>
        <w:t xml:space="preserve"> — NII and EPS estimates for Q2 and full-year 2026 are tracking management guidance with minimal drift. The lack of downward revision despite macro uncertainty is a mild positive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 Period</w:t>
            </w:r>
          </w:p>
        </w:tc>
        <w:tc>
          <w:tcPr>
            <w:tcW w:type="dxa" w:w="1234"/>
            <w:shd w:val="clear" w:color="auto" w:fill="3B4259"/>
          </w:tcPr>
          <w:p>
            <w:r>
              <w:rPr>
                <w:rFonts w:ascii="Calibri" w:hAnsi="Calibri"/>
                <w:b/>
                <w:color w:val="FFFFFF"/>
                <w:sz w:val="22"/>
              </w:rPr>
              <w:t>Est. ~Post Q1 Earnings</w:t>
            </w:r>
          </w:p>
        </w:tc>
        <w:tc>
          <w:tcPr>
            <w:tcW w:type="dxa" w:w="1234"/>
            <w:shd w:val="clear" w:color="auto" w:fill="3B4259"/>
          </w:tcPr>
          <w:p>
            <w:r>
              <w:rPr>
                <w:rFonts w:ascii="Calibri" w:hAnsi="Calibri"/>
                <w:b/>
                <w:color w:val="FFFFFF"/>
                <w:sz w:val="22"/>
              </w:rPr>
              <w:t>Current Consensus (Jul 20)</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(Q1 Call)</w:t>
            </w:r>
          </w:p>
        </w:tc>
        <w:tc>
          <w:tcPr>
            <w:tcW w:type="dxa" w:w="1234"/>
            <w:shd w:val="clear" w:color="auto" w:fill="3B4259"/>
          </w:tcPr>
          <w:p>
            <w:r>
              <w:rPr>
                <w:rFonts w:ascii="Calibri" w:hAnsi="Calibri"/>
                <w:b/>
                <w:color w:val="FFFFFF"/>
                <w:sz w:val="22"/>
              </w:rPr>
              <w:t>Guidance Δ</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NII — Q2 2026</w:t>
            </w:r>
          </w:p>
        </w:tc>
        <w:tc>
          <w:tcPr>
            <w:tcW w:type="dxa" w:w="1234"/>
          </w:tcPr>
          <w:p>
            <w:r>
              <w:rPr>
                <w:rFonts w:ascii="Calibri" w:hAnsi="Calibri"/>
                <w:sz w:val="22"/>
              </w:rPr>
              <w:t>~$1,250M</w:t>
            </w:r>
          </w:p>
        </w:tc>
        <w:tc>
          <w:tcPr>
            <w:tcW w:type="dxa" w:w="1234"/>
          </w:tcPr>
          <w:p>
            <w:r>
              <w:rPr>
                <w:rFonts w:ascii="Calibri" w:hAnsi="Calibri"/>
                <w:sz w:val="22"/>
              </w:rPr>
              <w:t>$1,257M</w:t>
            </w:r>
          </w:p>
        </w:tc>
        <w:tc>
          <w:tcPr>
            <w:tcW w:type="dxa" w:w="1234"/>
          </w:tcPr>
          <w:p>
            <w:r>
              <w:rPr>
                <w:rFonts w:ascii="Calibri" w:hAnsi="Calibri"/>
                <w:b/>
                <w:color w:val="30A46C"/>
                <w:sz w:val="22"/>
              </w:rPr>
              <w:t>+0.6%</w:t>
            </w:r>
          </w:p>
        </w:tc>
        <w:tc>
          <w:tcPr>
            <w:tcW w:type="dxa" w:w="1234"/>
          </w:tcPr>
          <w:p>
            <w:r>
              <w:rPr>
                <w:rFonts w:ascii="Calibri" w:hAnsi="Calibri"/>
                <w:sz w:val="22"/>
              </w:rPr>
              <w:t>~$1,257M (~3% QoQ)</w:t>
            </w:r>
          </w:p>
        </w:tc>
        <w:tc>
          <w:tcPr>
            <w:tcW w:type="dxa" w:w="1234"/>
          </w:tcPr>
          <w:p>
            <w:r>
              <w:rPr>
                <w:rFonts w:ascii="Calibri" w:hAnsi="Calibri"/>
                <w:sz w:val="22"/>
              </w:rPr>
              <w:t>Unchanged</w:t>
            </w:r>
          </w:p>
        </w:tc>
        <w:tc>
          <w:tcPr>
            <w:tcW w:type="dxa" w:w="1234"/>
          </w:tcPr>
          <w:p>
            <w:r>
              <w:rPr>
                <w:rFonts w:ascii="Calibri" w:hAnsi="Calibri"/>
                <w:sz w:val="22"/>
              </w:rPr>
              <w:t>~0%</w:t>
            </w:r>
          </w:p>
        </w:tc>
      </w:tr>
      <w:tr>
        <w:tc>
          <w:tcPr>
            <w:tcW w:type="dxa" w:w="1234"/>
          </w:tcPr>
          <w:p>
            <w:r>
              <w:rPr>
                <w:rFonts w:ascii="Calibri" w:hAnsi="Calibri"/>
                <w:sz w:val="22"/>
              </w:rPr>
              <w:t>NII — FY 2026</w:t>
            </w:r>
          </w:p>
        </w:tc>
        <w:tc>
          <w:tcPr>
            <w:tcW w:type="dxa" w:w="1234"/>
          </w:tcPr>
          <w:p>
            <w:r>
              <w:rPr>
                <w:rFonts w:ascii="Calibri" w:hAnsi="Calibri"/>
                <w:sz w:val="22"/>
              </w:rPr>
              <w:t>~$5,080M</w:t>
            </w:r>
          </w:p>
        </w:tc>
        <w:tc>
          <w:tcPr>
            <w:tcW w:type="dxa" w:w="1234"/>
          </w:tcPr>
          <w:p>
            <w:r>
              <w:rPr>
                <w:rFonts w:ascii="Calibri" w:hAnsi="Calibri"/>
                <w:sz w:val="22"/>
              </w:rPr>
              <w:t>$5,100M</w:t>
            </w:r>
          </w:p>
        </w:tc>
        <w:tc>
          <w:tcPr>
            <w:tcW w:type="dxa" w:w="1234"/>
          </w:tcPr>
          <w:p>
            <w:r>
              <w:rPr>
                <w:rFonts w:ascii="Calibri" w:hAnsi="Calibri"/>
                <w:b/>
                <w:color w:val="30A46C"/>
                <w:sz w:val="22"/>
              </w:rPr>
              <w:t>+0.4%</w:t>
            </w:r>
          </w:p>
        </w:tc>
        <w:tc>
          <w:tcPr>
            <w:tcW w:type="dxa" w:w="1234"/>
          </w:tcPr>
          <w:p>
            <w:r>
              <w:rPr>
                <w:rFonts w:ascii="Calibri" w:hAnsi="Calibri"/>
                <w:sz w:val="22"/>
              </w:rPr>
              <w:t>9–10% growth (~$5.05–5.14B)</w:t>
            </w:r>
          </w:p>
        </w:tc>
        <w:tc>
          <w:tcPr>
            <w:tcW w:type="dxa" w:w="1234"/>
          </w:tcPr>
          <w:p>
            <w:r>
              <w:rPr>
                <w:rFonts w:ascii="Calibri" w:hAnsi="Calibri"/>
                <w:sz w:val="22"/>
              </w:rPr>
              <w:t>Unchanged</w:t>
            </w:r>
          </w:p>
        </w:tc>
        <w:tc>
          <w:tcPr>
            <w:tcW w:type="dxa" w:w="1234"/>
          </w:tcPr>
          <w:p>
            <w:r>
              <w:rPr>
                <w:rFonts w:ascii="Calibri" w:hAnsi="Calibri"/>
                <w:sz w:val="22"/>
              </w:rPr>
              <w:t>Midpoint</w:t>
            </w:r>
          </w:p>
        </w:tc>
      </w:tr>
      <w:tr>
        <w:tc>
          <w:tcPr>
            <w:tcW w:type="dxa" w:w="1234"/>
          </w:tcPr>
          <w:p>
            <w:r>
              <w:rPr>
                <w:rFonts w:ascii="Calibri" w:hAnsi="Calibri"/>
                <w:sz w:val="22"/>
              </w:rPr>
              <w:t>Op. EPS — Q2 2026</w:t>
            </w:r>
          </w:p>
        </w:tc>
        <w:tc>
          <w:tcPr>
            <w:tcW w:type="dxa" w:w="1234"/>
          </w:tcPr>
          <w:p>
            <w:r>
              <w:rPr>
                <w:rFonts w:ascii="Calibri" w:hAnsi="Calibri"/>
                <w:sz w:val="22"/>
              </w:rPr>
              <w:t>~$0.415</w:t>
            </w:r>
          </w:p>
        </w:tc>
        <w:tc>
          <w:tcPr>
            <w:tcW w:type="dxa" w:w="1234"/>
          </w:tcPr>
          <w:p>
            <w:r>
              <w:rPr>
                <w:rFonts w:ascii="Calibri" w:hAnsi="Calibri"/>
                <w:sz w:val="22"/>
              </w:rPr>
              <w:t>$0.419</w:t>
            </w:r>
          </w:p>
        </w:tc>
        <w:tc>
          <w:tcPr>
            <w:tcW w:type="dxa" w:w="1234"/>
          </w:tcPr>
          <w:p>
            <w:r>
              <w:rPr>
                <w:rFonts w:ascii="Calibri" w:hAnsi="Calibri"/>
                <w:b/>
                <w:color w:val="30A46C"/>
                <w:sz w:val="22"/>
              </w:rPr>
              <w:t>+1.0%</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Op. EPS — FY 2026</w:t>
            </w:r>
          </w:p>
        </w:tc>
        <w:tc>
          <w:tcPr>
            <w:tcW w:type="dxa" w:w="1234"/>
          </w:tcPr>
          <w:p>
            <w:r>
              <w:rPr>
                <w:rFonts w:ascii="Calibri" w:hAnsi="Calibri"/>
                <w:sz w:val="22"/>
              </w:rPr>
              <w:t>~$1.80</w:t>
            </w:r>
          </w:p>
        </w:tc>
        <w:tc>
          <w:tcPr>
            <w:tcW w:type="dxa" w:w="1234"/>
          </w:tcPr>
          <w:p>
            <w:r>
              <w:rPr>
                <w:rFonts w:ascii="Calibri" w:hAnsi="Calibri"/>
                <w:sz w:val="22"/>
              </w:rPr>
              <w:t>$1.831</w:t>
            </w:r>
          </w:p>
        </w:tc>
        <w:tc>
          <w:tcPr>
            <w:tcW w:type="dxa" w:w="1234"/>
          </w:tcPr>
          <w:p>
            <w:r>
              <w:rPr>
                <w:rFonts w:ascii="Calibri" w:hAnsi="Calibri"/>
                <w:b/>
                <w:color w:val="30A46C"/>
                <w:sz w:val="22"/>
              </w:rPr>
              <w:t>+1.7%</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IB Fees — Q2 2026</w:t>
            </w:r>
          </w:p>
        </w:tc>
        <w:tc>
          <w:tcPr>
            <w:tcW w:type="dxa" w:w="1234"/>
          </w:tcPr>
          <w:p>
            <w:r>
              <w:rPr>
                <w:rFonts w:ascii="Calibri" w:hAnsi="Calibri"/>
                <w:sz w:val="22"/>
              </w:rPr>
              <w:t>~$178M</w:t>
            </w:r>
          </w:p>
        </w:tc>
        <w:tc>
          <w:tcPr>
            <w:tcW w:type="dxa" w:w="1234"/>
          </w:tcPr>
          <w:p>
            <w:r>
              <w:rPr>
                <w:rFonts w:ascii="Calibri" w:hAnsi="Calibri"/>
                <w:sz w:val="22"/>
              </w:rPr>
              <w:t>$179M</w:t>
            </w:r>
          </w:p>
        </w:tc>
        <w:tc>
          <w:tcPr>
            <w:tcW w:type="dxa" w:w="1234"/>
          </w:tcPr>
          <w:p>
            <w:r>
              <w:rPr>
                <w:rFonts w:ascii="Calibri" w:hAnsi="Calibri"/>
                <w:b/>
                <w:color w:val="30A46C"/>
                <w:sz w:val="22"/>
              </w:rPr>
              <w:t>+0.6%</w:t>
            </w:r>
          </w:p>
        </w:tc>
        <w:tc>
          <w:tcPr>
            <w:tcW w:type="dxa" w:w="1234"/>
          </w:tcPr>
          <w:p>
            <w:r>
              <w:rPr>
                <w:rFonts w:ascii="Calibri" w:hAnsi="Calibri"/>
                <w:sz w:val="22"/>
              </w:rPr>
              <w:t>$175–180M</w:t>
            </w:r>
          </w:p>
        </w:tc>
        <w:tc>
          <w:tcPr>
            <w:tcW w:type="dxa" w:w="1234"/>
          </w:tcPr>
          <w:p>
            <w:r>
              <w:rPr>
                <w:rFonts w:ascii="Calibri" w:hAnsi="Calibri"/>
                <w:sz w:val="22"/>
              </w:rPr>
              <w:t>Unchanged</w:t>
            </w:r>
          </w:p>
        </w:tc>
        <w:tc>
          <w:tcPr>
            <w:tcW w:type="dxa" w:w="1234"/>
          </w:tcPr>
          <w:p>
            <w:r>
              <w:rPr>
                <w:rFonts w:ascii="Calibri" w:hAnsi="Calibri"/>
                <w:sz w:val="22"/>
              </w:rPr>
              <w:t>+0.3%</w:t>
            </w:r>
          </w:p>
        </w:tc>
      </w:tr>
      <w:tr>
        <w:tc>
          <w:tcPr>
            <w:tcW w:type="dxa" w:w="1234"/>
          </w:tcPr>
          <w:p>
            <w:r>
              <w:rPr>
                <w:rFonts w:ascii="Calibri" w:hAnsi="Calibri"/>
                <w:sz w:val="22"/>
              </w:rPr>
              <w:t>IB Fees — FY 2026</w:t>
            </w:r>
          </w:p>
        </w:tc>
        <w:tc>
          <w:tcPr>
            <w:tcW w:type="dxa" w:w="1234"/>
          </w:tcPr>
          <w:p>
            <w:r>
              <w:rPr>
                <w:rFonts w:ascii="Calibri" w:hAnsi="Calibri"/>
                <w:sz w:val="22"/>
              </w:rPr>
              <w:t>~$820M</w:t>
            </w:r>
          </w:p>
        </w:tc>
        <w:tc>
          <w:tcPr>
            <w:tcW w:type="dxa" w:w="1234"/>
          </w:tcPr>
          <w:p>
            <w:r>
              <w:rPr>
                <w:rFonts w:ascii="Calibri" w:hAnsi="Calibri"/>
                <w:sz w:val="22"/>
              </w:rPr>
              <w:t>$824M</w:t>
            </w:r>
          </w:p>
        </w:tc>
        <w:tc>
          <w:tcPr>
            <w:tcW w:type="dxa" w:w="1234"/>
          </w:tcPr>
          <w:p>
            <w:r>
              <w:rPr>
                <w:rFonts w:ascii="Calibri" w:hAnsi="Calibri"/>
                <w:b/>
                <w:color w:val="30A46C"/>
                <w:sz w:val="22"/>
              </w:rPr>
              <w:t>+0.5%</w:t>
            </w:r>
          </w:p>
        </w:tc>
        <w:tc>
          <w:tcPr>
            <w:tcW w:type="dxa" w:w="1234"/>
          </w:tcPr>
          <w:p>
            <w:r>
              <w:rPr>
                <w:rFonts w:ascii="Calibri" w:hAnsi="Calibri"/>
                <w:sz w:val="22"/>
              </w:rPr>
              <w:t>~$825M (mid-single digits)</w:t>
            </w:r>
          </w:p>
        </w:tc>
        <w:tc>
          <w:tcPr>
            <w:tcW w:type="dxa" w:w="1234"/>
          </w:tcPr>
          <w:p>
            <w:r>
              <w:rPr>
                <w:rFonts w:ascii="Calibri" w:hAnsi="Calibri"/>
                <w:sz w:val="22"/>
              </w:rPr>
              <w:t>Unchanged</w:t>
            </w:r>
          </w:p>
        </w:tc>
        <w:tc>
          <w:tcPr>
            <w:tcW w:type="dxa" w:w="1234"/>
          </w:tcPr>
          <w:p>
            <w:r>
              <w:rPr>
                <w:rFonts w:ascii="Calibri" w:hAnsi="Calibri"/>
                <w:sz w:val="22"/>
              </w:rPr>
              <w:t>~0%</w:t>
            </w:r>
          </w:p>
        </w:tc>
      </w:tr>
      <w:tr>
        <w:tc>
          <w:tcPr>
            <w:tcW w:type="dxa" w:w="1234"/>
          </w:tcPr>
          <w:p>
            <w:r>
              <w:rPr>
                <w:rFonts w:ascii="Calibri" w:hAnsi="Calibri"/>
                <w:sz w:val="22"/>
              </w:rPr>
              <w:t>Op. PPNR — Q2 2026</w:t>
            </w:r>
          </w:p>
        </w:tc>
        <w:tc>
          <w:tcPr>
            <w:tcW w:type="dxa" w:w="1234"/>
          </w:tcPr>
          <w:p>
            <w:r>
              <w:rPr>
                <w:rFonts w:ascii="Calibri" w:hAnsi="Calibri"/>
                <w:sz w:val="22"/>
              </w:rPr>
              <w:t>~$740M</w:t>
            </w:r>
          </w:p>
        </w:tc>
        <w:tc>
          <w:tcPr>
            <w:tcW w:type="dxa" w:w="1234"/>
          </w:tcPr>
          <w:p>
            <w:r>
              <w:rPr>
                <w:rFonts w:ascii="Calibri" w:hAnsi="Calibri"/>
                <w:sz w:val="22"/>
              </w:rPr>
              <w:t>$746M</w:t>
            </w:r>
          </w:p>
        </w:tc>
        <w:tc>
          <w:tcPr>
            <w:tcW w:type="dxa" w:w="1234"/>
          </w:tcPr>
          <w:p>
            <w:r>
              <w:rPr>
                <w:rFonts w:ascii="Calibri" w:hAnsi="Calibri"/>
                <w:b/>
                <w:color w:val="30A46C"/>
                <w:sz w:val="22"/>
              </w:rPr>
              <w:t>+0.8%</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 xml:space="preserve">Note: </w:t>
      </w:r>
      <w:r>
        <w:rPr>
          <w:rFonts w:ascii="Calibri" w:hAnsi="Calibri"/>
          <w:i/>
          <w:color w:val="525866"/>
          <w:sz w:val="22"/>
        </w:rPr>
        <w:t>Post-Q1 earnings estimates are approximated from the VA matrix data. The stability of estimates since Q1 earnings reflects management’s clear guidance and the market’s confidence in the NIM expansion path. The slight upward drift in EPS estimates (+1.7% for FY 2026) is consistent with the buyback acceleration providing incremental EPS tailwind.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KEY has underperformed KRE by ~270bps since Q1 earnings</w:t>
      </w:r>
      <w:r>
        <w:rPr>
          <w:rFonts w:ascii="Calibri" w:hAnsi="Calibri"/>
          <w:color w:val="525866"/>
          <w:sz w:val="22"/>
        </w:rPr>
        <w:t xml:space="preserve"> (+7.6% vs. +10.3%), suggesting the market has not fully rewarded KEY’s strong Q1 print and raised guidance. The underperformance vs. peers creates a </w:t>
      </w:r>
      <w:r>
        <w:rPr>
          <w:rFonts w:ascii="Calibri" w:hAnsi="Calibri"/>
          <w:b/>
          <w:color w:val="525866"/>
          <w:sz w:val="22"/>
        </w:rPr>
        <w:t>favorable asymmetry</w:t>
      </w:r>
      <w:r>
        <w:rPr>
          <w:rFonts w:ascii="Calibri" w:hAnsi="Calibri"/>
          <w:color w:val="525866"/>
          <w:sz w:val="22"/>
        </w:rPr>
        <w:t xml:space="preserve"> heading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KEY vs. KRE (Regional Bank ETF) vs. S&amp;P 500 (SPY) — Indexed to 100 at Q1 2026 Earnings (April 16, 2026). Source: Stock Price Data.</w:t>
      </w:r>
    </w:p>
    <w:p>
      <w:r>
        <w:rPr>
          <w:rFonts w:ascii="Calibri" w:hAnsi="Calibri"/>
          <w:color w:val="525866"/>
          <w:sz w:val="22"/>
        </w:rPr>
        <w:t xml:space="preserve">KEY gained +7.6% from $21.67 to $23.32 since Q1 earnings (April 16, 2026), compared to KRE +10.3% and SPY +5.8%. KEY outperformed the S&amp;P 500 but lagged the regional bank ETF by ~270bps. The stock dipped to a low of ~$20.75 in mid-May before recovering sharply in June, coinciding with the broader regional bank rally. The </w:t>
      </w:r>
      <w:r>
        <w:rPr>
          <w:rFonts w:ascii="Calibri" w:hAnsi="Calibri"/>
          <w:b/>
          <w:color w:val="525866"/>
          <w:sz w:val="22"/>
        </w:rPr>
        <w:t>$3B buyback authorization announced May 14</w:t>
      </w:r>
      <w:r>
        <w:rPr>
          <w:rFonts w:ascii="Calibri" w:hAnsi="Calibri"/>
          <w:color w:val="525866"/>
          <w:sz w:val="22"/>
        </w:rPr>
        <w:t xml:space="preserve"> provided a floor, and the </w:t>
      </w:r>
      <w:r>
        <w:rPr>
          <w:rFonts w:ascii="Calibri" w:hAnsi="Calibri"/>
          <w:b/>
          <w:color w:val="525866"/>
          <w:sz w:val="22"/>
        </w:rPr>
        <w:t>Morgan Stanley conference on June 10</w:t>
      </w:r>
      <w:r>
        <w:rPr>
          <w:rFonts w:ascii="Calibri" w:hAnsi="Calibri"/>
          <w:color w:val="525866"/>
          <w:sz w:val="22"/>
        </w:rPr>
        <w:t xml:space="preserve"> (where management reiterated all guidance) helped catalyze the June rally. The stock has been range-bound in the $23–$24 range since late June, suggesting the market is waiting for the Q2 print to determine the next leg. The sector ETF (KRE) is used as the benchmark given KEY’s classification as a regional bank.</w:t>
      </w:r>
    </w:p>
    <w:p>
      <w:r>
        <w:br w:type="page"/>
      </w:r>
    </w:p>
    <w:p>
      <w:pPr>
        <w:pStyle w:val="Heading2"/>
      </w:pPr>
      <w:r>
        <w:rPr>
          <w:rFonts w:ascii="Calibri" w:hAnsi="Calibri"/>
          <w:b/>
          <w:color w:val="3B4259"/>
          <w:sz w:val="28"/>
        </w:rPr>
        <w:t>6. Peer Commentaries: Q2 2026 Read-Throughs</w:t>
      </w:r>
    </w:p>
    <w:p>
      <w:r>
        <w:rPr>
          <w:rFonts w:ascii="Calibri" w:hAnsi="Calibri"/>
          <w:b/>
          <w:color w:val="525866"/>
          <w:sz w:val="22"/>
        </w:rPr>
        <w:t xml:space="preserve">Key Takeaway: </w:t>
      </w:r>
      <w:r>
        <w:rPr>
          <w:rFonts w:ascii="Calibri" w:hAnsi="Calibri"/>
          <w:b/>
          <w:color w:val="525866"/>
          <w:sz w:val="22"/>
        </w:rPr>
        <w:t>Peers reporting Q2 2026 results this week paint a broadly constructive picture</w:t>
      </w:r>
      <w:r>
        <w:rPr>
          <w:rFonts w:ascii="Calibri" w:hAnsi="Calibri"/>
          <w:color w:val="525866"/>
          <w:sz w:val="22"/>
        </w:rPr>
        <w:t xml:space="preserve"> — strong C&amp;I loan growth, benign credit, and NIM expansion are consistent themes, all of which are positive read-throughs for KEY. The one nuance: </w:t>
      </w:r>
      <w:r>
        <w:rPr>
          <w:rFonts w:ascii="Calibri" w:hAnsi="Calibri"/>
          <w:b/>
          <w:color w:val="525866"/>
          <w:sz w:val="22"/>
        </w:rPr>
        <w:t>TFC cut its NII guide</w:t>
      </w:r>
      <w:r>
        <w:rPr>
          <w:rFonts w:ascii="Calibri" w:hAnsi="Calibri"/>
          <w:color w:val="525866"/>
          <w:sz w:val="22"/>
        </w:rPr>
        <w:t>, driven by portfolio optimization and spread compression, which is a company-specific dynamic not directly applicable to KEY.</w:t>
      </w:r>
    </w:p>
    <w:p>
      <w:r>
        <w:rPr>
          <w:rFonts w:ascii="Calibri" w:hAnsi="Calibri"/>
          <w:i/>
          <w:color w:val="525866"/>
          <w:sz w:val="22"/>
        </w:rPr>
        <w:t>This section covers Q2 2026 earnings commentary from regional bank peers that reported before KEY: PNC (July 15), MTB (July 15), CFG (July 16), USB (July 16), TFC (July 17), FITB (July 17), and RF (July 17). All commentary reflects Q2 2026 results and forward guidance.</w:t>
      </w:r>
    </w:p>
    <w:p>
      <w:pPr>
        <w:pStyle w:val="Heading3"/>
      </w:pPr>
      <w:r>
        <w:rPr>
          <w:rFonts w:ascii="Calibri" w:hAnsi="Calibri"/>
          <w:b/>
          <w:color w:val="3B4259"/>
          <w:sz w:val="24"/>
        </w:rPr>
        <w:t>Commercial Loan Growth — Broad-Based Strength ✅ Positive Read-Through</w:t>
      </w:r>
    </w:p>
    <w:p>
      <w:r>
        <w:rPr>
          <w:rFonts w:ascii="Calibri" w:hAnsi="Calibri"/>
          <w:color w:val="525866"/>
          <w:sz w:val="22"/>
        </w:rPr>
        <w:t>Multiple peers reported strong C&amp;I loan growth in Q2 2026, consistent with KEY’s own strong Q1 momentum and QTD commentary at the June conference:</w:t>
      </w:r>
    </w:p>
    <w:p>
      <w:pPr>
        <w:pStyle w:val="ListBullet"/>
        <w:ind w:left="360" w:hanging="360"/>
      </w:pPr>
      <w:r>
        <w:rPr>
          <w:rFonts w:ascii="Calibri" w:hAnsi="Calibri"/>
          <w:b/>
          <w:color w:val="525866"/>
          <w:sz w:val="22"/>
        </w:rPr>
        <w:t>PNC</w:t>
      </w:r>
      <w:r>
        <w:rPr>
          <w:rFonts w:ascii="Calibri" w:hAnsi="Calibri"/>
          <w:color w:val="525866"/>
          <w:sz w:val="22"/>
        </w:rPr>
        <w:t xml:space="preserve"> reported average loans up 4% linked quarter, with “virtually all of the loan growth in C&amp;I” driven by strong new production and higher utilization across almost every loan category. PNC noted line utilization increased in Q2 and expects it to “at least hold, maybe go up a little” in H2.</w:t>
      </w:r>
    </w:p>
    <w:p>
      <w:pPr>
        <w:pStyle w:val="ListBullet"/>
        <w:ind w:left="360" w:hanging="360"/>
      </w:pPr>
      <w:r>
        <w:rPr>
          <w:rFonts w:ascii="Calibri" w:hAnsi="Calibri"/>
          <w:b/>
          <w:color w:val="525866"/>
          <w:sz w:val="22"/>
        </w:rPr>
        <w:t>MTB</w:t>
      </w:r>
      <w:r>
        <w:rPr>
          <w:rFonts w:ascii="Calibri" w:hAnsi="Calibri"/>
          <w:color w:val="525866"/>
          <w:sz w:val="22"/>
        </w:rPr>
        <w:t xml:space="preserve"> reported the “strongest quarterly loan growth since 2012 (excluding acquisitions and PPP)” with commercial loans up $2.3B to $66B, driven by middle market, business banking, and specialty businesses. MTB noted “90% of all the businesses grew quarter over quarter” on the C&amp;I front.</w:t>
      </w:r>
    </w:p>
    <w:p>
      <w:pPr>
        <w:pStyle w:val="ListBullet"/>
        <w:ind w:left="360" w:hanging="360"/>
      </w:pPr>
      <w:r>
        <w:rPr>
          <w:rFonts w:ascii="Calibri" w:hAnsi="Calibri"/>
          <w:b/>
          <w:color w:val="525866"/>
          <w:sz w:val="22"/>
        </w:rPr>
        <w:t>RF</w:t>
      </w:r>
      <w:r>
        <w:rPr>
          <w:rFonts w:ascii="Calibri" w:hAnsi="Calibri"/>
          <w:color w:val="525866"/>
          <w:sz w:val="22"/>
        </w:rPr>
        <w:t xml:space="preserve"> reported average loans up ~2% QoQ with growth “broad-based in commercial and industrial lending categories, including power and utilities, manufacturing, government and public sector, and retail trade.” RF noted loan pipelines are “up roughly 15% from a year ago.”</w:t>
      </w:r>
    </w:p>
    <w:p>
      <w:pPr>
        <w:pStyle w:val="ListBullet"/>
        <w:ind w:left="360" w:hanging="360"/>
      </w:pPr>
      <w:r>
        <w:rPr>
          <w:rFonts w:ascii="Calibri" w:hAnsi="Calibri"/>
          <w:b/>
          <w:color w:val="525866"/>
          <w:sz w:val="22"/>
        </w:rPr>
        <w:t>CFG</w:t>
      </w:r>
      <w:r>
        <w:rPr>
          <w:rFonts w:ascii="Calibri" w:hAnsi="Calibri"/>
          <w:color w:val="525866"/>
          <w:sz w:val="22"/>
        </w:rPr>
        <w:t xml:space="preserve"> reported average loans up 2% QoQ and period-end loans up 3%, with C&amp;I growth “broad-based” across technology, healthcare, energy, and FIG sectors. CFG noted “loan spreads remained stable in Q2” — an improvement from earlier spread compression.</w:t>
      </w:r>
    </w:p>
    <w:p>
      <w:pPr>
        <w:pStyle w:val="ListBullet"/>
        <w:ind w:left="360" w:hanging="360"/>
      </w:pPr>
      <w:r>
        <w:rPr>
          <w:rFonts w:ascii="Calibri" w:hAnsi="Calibri"/>
          <w:b/>
          <w:color w:val="525866"/>
          <w:sz w:val="22"/>
        </w:rPr>
        <w:t>USB</w:t>
      </w:r>
      <w:r>
        <w:rPr>
          <w:rFonts w:ascii="Calibri" w:hAnsi="Calibri"/>
          <w:color w:val="525866"/>
          <w:sz w:val="22"/>
        </w:rPr>
        <w:t xml:space="preserve"> reported average loans up 3% QoQ and 7.1% YoY, with “virtually all categories in the commercial side green from a growth standpoint.”</w:t>
      </w:r>
    </w:p>
    <w:p>
      <w:pPr>
        <w:pStyle w:val="ListBullet"/>
        <w:ind w:left="360" w:hanging="360"/>
      </w:pPr>
      <w:r>
        <w:rPr>
          <w:rFonts w:ascii="Calibri" w:hAnsi="Calibri"/>
          <w:b/>
          <w:color w:val="525866"/>
          <w:sz w:val="22"/>
        </w:rPr>
        <w:t>TFC</w:t>
      </w:r>
      <w:r>
        <w:rPr>
          <w:rFonts w:ascii="Calibri" w:hAnsi="Calibri"/>
          <w:color w:val="525866"/>
          <w:sz w:val="22"/>
        </w:rPr>
        <w:t xml:space="preserve"> reported average commercial loans up 1.3% QoQ with “broad-based momentum across industry, banking, middle market, and commercial real estate teams.”</w:t>
      </w:r>
    </w:p>
    <w:p>
      <w:r>
        <w:rPr>
          <w:rFonts w:ascii="Calibri" w:hAnsi="Calibri"/>
          <w:b/>
          <w:color w:val="525866"/>
          <w:sz w:val="22"/>
        </w:rPr>
        <w:t xml:space="preserve">Read-through for KEY: </w:t>
      </w:r>
      <w:r>
        <w:rPr>
          <w:rFonts w:ascii="Calibri" w:hAnsi="Calibri"/>
          <w:color w:val="525866"/>
          <w:sz w:val="22"/>
        </w:rPr>
        <w:t>Broad-based C&amp;I loan demand across the peer group is a strong positive signal for KEY’s Q2 commercial loan growth. KEY guided $1.5B QTD at the June 10 conference; peers suggest the demand environment remained supportive through quarter-end. Utilities and power — a specific area of strength KEY called out — was also highlighted by RF and others.</w:t>
      </w:r>
    </w:p>
    <w:p>
      <w:pPr>
        <w:pStyle w:val="Heading3"/>
      </w:pPr>
      <w:r>
        <w:rPr>
          <w:rFonts w:ascii="Calibri" w:hAnsi="Calibri"/>
          <w:b/>
          <w:color w:val="3B4259"/>
          <w:sz w:val="24"/>
        </w:rPr>
        <w:t>NII &amp; NIM — Expansion Continues ✅ Positive Read-Through</w:t>
      </w:r>
    </w:p>
    <w:p>
      <w:r>
        <w:rPr>
          <w:rFonts w:ascii="Calibri" w:hAnsi="Calibri"/>
          <w:color w:val="525866"/>
          <w:sz w:val="22"/>
        </w:rPr>
        <w:t>Fixed-rate asset repricing continues to drive NIM expansion across the peer group, consistent with KEY’s mechanical NIM expansion story:</w:t>
      </w:r>
    </w:p>
    <w:p>
      <w:pPr>
        <w:pStyle w:val="ListBullet"/>
        <w:ind w:left="360" w:hanging="360"/>
      </w:pPr>
      <w:r>
        <w:rPr>
          <w:rFonts w:ascii="Calibri" w:hAnsi="Calibri"/>
          <w:b/>
          <w:color w:val="525866"/>
          <w:sz w:val="22"/>
        </w:rPr>
        <w:t>PNC</w:t>
      </w:r>
      <w:r>
        <w:rPr>
          <w:rFonts w:ascii="Calibri" w:hAnsi="Calibri"/>
          <w:color w:val="525866"/>
          <w:sz w:val="22"/>
        </w:rPr>
        <w:t xml:space="preserve"> reported NII up 4% QoQ with NIM at 2.96% (+1bp QoQ). PNC remains on track for NIM above 3% by year-end, driven by fixed-rate asset repricing.</w:t>
      </w:r>
    </w:p>
    <w:p>
      <w:pPr>
        <w:pStyle w:val="ListBullet"/>
        <w:ind w:left="360" w:hanging="360"/>
      </w:pPr>
      <w:r>
        <w:rPr>
          <w:rFonts w:ascii="Calibri" w:hAnsi="Calibri"/>
          <w:b/>
          <w:color w:val="525866"/>
          <w:sz w:val="22"/>
        </w:rPr>
        <w:t>RF</w:t>
      </w:r>
      <w:r>
        <w:rPr>
          <w:rFonts w:ascii="Calibri" w:hAnsi="Calibri"/>
          <w:color w:val="525866"/>
          <w:sz w:val="22"/>
        </w:rPr>
        <w:t xml:space="preserve"> reported NII up 2% QoQ with NIM at 3.66%, and expects NIM to “exit the year at approximately 3.7%.” RF noted “balance sheet repricing to support margin expansion over multiple years.”</w:t>
      </w:r>
    </w:p>
    <w:p>
      <w:pPr>
        <w:pStyle w:val="ListBullet"/>
        <w:ind w:left="360" w:hanging="360"/>
      </w:pPr>
      <w:r>
        <w:rPr>
          <w:rFonts w:ascii="Calibri" w:hAnsi="Calibri"/>
          <w:b/>
          <w:color w:val="525866"/>
          <w:sz w:val="22"/>
        </w:rPr>
        <w:t>CFG</w:t>
      </w:r>
      <w:r>
        <w:rPr>
          <w:rFonts w:ascii="Calibri" w:hAnsi="Calibri"/>
          <w:color w:val="525866"/>
          <w:sz w:val="22"/>
        </w:rPr>
        <w:t xml:space="preserve"> reported NII up 4.4% QoQ with NIM expanding 3bps linked quarter, and projects Q4 2026 NIM of 3.22–3.27%.</w:t>
      </w:r>
    </w:p>
    <w:p>
      <w:pPr>
        <w:pStyle w:val="ListBullet"/>
        <w:ind w:left="360" w:hanging="360"/>
      </w:pPr>
      <w:r>
        <w:rPr>
          <w:rFonts w:ascii="Calibri" w:hAnsi="Calibri"/>
          <w:b/>
          <w:color w:val="525866"/>
          <w:sz w:val="22"/>
        </w:rPr>
        <w:t>MTB</w:t>
      </w:r>
      <w:r>
        <w:rPr>
          <w:rFonts w:ascii="Calibri" w:hAnsi="Calibri"/>
          <w:color w:val="525866"/>
          <w:sz w:val="22"/>
        </w:rPr>
        <w:t xml:space="preserve"> reported NII up 2% QoQ with NIM stable at 3.70%, supported by the strongest quarterly loan growth since 2012.</w:t>
      </w:r>
    </w:p>
    <w:p>
      <w:pPr>
        <w:pStyle w:val="ListBullet"/>
        <w:ind w:left="360" w:hanging="360"/>
      </w:pPr>
      <w:r>
        <w:rPr>
          <w:rFonts w:ascii="Calibri" w:hAnsi="Calibri"/>
          <w:b/>
          <w:color w:val="525866"/>
          <w:sz w:val="22"/>
        </w:rPr>
        <w:t>USB</w:t>
      </w:r>
      <w:r>
        <w:rPr>
          <w:rFonts w:ascii="Calibri" w:hAnsi="Calibri"/>
          <w:color w:val="525866"/>
          <w:sz w:val="22"/>
        </w:rPr>
        <w:t xml:space="preserve"> reported NII up 2.2% QoQ with NIM improving 2bps to 2.79%, and expects to reach 3% NIM “at some point in 2027.”</w:t>
      </w:r>
    </w:p>
    <w:p>
      <w:pPr>
        <w:pStyle w:val="ListBullet"/>
        <w:ind w:left="360" w:hanging="360"/>
      </w:pPr>
      <w:r>
        <w:rPr>
          <w:rFonts w:ascii="Calibri" w:hAnsi="Calibri"/>
          <w:b/>
          <w:color w:val="525866"/>
          <w:sz w:val="22"/>
        </w:rPr>
        <w:t>TFC</w:t>
      </w:r>
      <w:r>
        <w:rPr>
          <w:rFonts w:ascii="Calibri" w:hAnsi="Calibri"/>
          <w:b/>
          <w:color w:val="E5484D"/>
          <w:sz w:val="22"/>
        </w:rPr>
        <w:t xml:space="preserve"> reported NII up 0.6% QoQ but </w:t>
      </w:r>
      <w:r>
        <w:rPr>
          <w:rFonts w:ascii="Calibri" w:hAnsi="Calibri"/>
          <w:b/>
          <w:color w:val="E5484D"/>
          <w:sz w:val="22"/>
        </w:rPr>
        <w:t xml:space="preserve"> cut its full-year NII guide to +1–1.5% (from +2–3%), citing portfolio optimization (exiting marine/RV loans, reducing auto), lower loan spreads, and less favorable deposit mix. This is a TFC-specific dynamic driven by deliberate portfolio repositioning, </w:t>
      </w:r>
      <w:r>
        <w:rPr>
          <w:rFonts w:ascii="Calibri" w:hAnsi="Calibri"/>
          <w:color w:val="525866"/>
          <w:sz w:val="22"/>
        </w:rPr>
        <w:t>not a macro signal.</w:t>
      </w:r>
    </w:p>
    <w:p>
      <w:r>
        <w:rPr>
          <w:rFonts w:ascii="Calibri" w:hAnsi="Calibri"/>
          <w:b/>
          <w:color w:val="525866"/>
          <w:sz w:val="22"/>
        </w:rPr>
        <w:t xml:space="preserve">Read-through for KEY: </w:t>
      </w:r>
      <w:r>
        <w:rPr>
          <w:rFonts w:ascii="Calibri" w:hAnsi="Calibri"/>
          <w:color w:val="525866"/>
          <w:sz w:val="22"/>
        </w:rPr>
        <w:t>The NII/NIM expansion trend is intact across the peer group. TFC’s guide cut is idiosyncratic (deliberate consumer portfolio exits) and is not a read-through for KEY, which is growing commercial loans and has a mechanical repricing tailwind from $17B of low-yielding assets rolling off in 2026. The peer data supports KEY’s guided ~3% QoQ NII growth for Q2.</w:t>
      </w:r>
    </w:p>
    <w:p>
      <w:pPr>
        <w:pStyle w:val="Heading3"/>
      </w:pPr>
      <w:r>
        <w:rPr>
          <w:rFonts w:ascii="Calibri" w:hAnsi="Calibri"/>
          <w:b/>
          <w:color w:val="3B4259"/>
          <w:sz w:val="24"/>
        </w:rPr>
        <w:t>Investment Banking / Capital Markets — Strong Quarter ✅ Positive Read-Through</w:t>
      </w:r>
    </w:p>
    <w:p>
      <w:r>
        <w:rPr>
          <w:rFonts w:ascii="Calibri" w:hAnsi="Calibri"/>
          <w:color w:val="525866"/>
          <w:sz w:val="22"/>
        </w:rPr>
        <w:t>Capital markets activity was strong across peers in Q2 2026, a positive signal for KEY’s IB fee guidance of $175–180M:</w:t>
      </w:r>
    </w:p>
    <w:p>
      <w:pPr>
        <w:pStyle w:val="ListBullet"/>
        <w:ind w:left="360" w:hanging="360"/>
      </w:pPr>
      <w:r>
        <w:rPr>
          <w:rFonts w:ascii="Calibri" w:hAnsi="Calibri"/>
          <w:b/>
          <w:color w:val="525866"/>
          <w:sz w:val="22"/>
        </w:rPr>
        <w:t>PNC</w:t>
      </w:r>
      <w:r>
        <w:rPr>
          <w:rFonts w:ascii="Calibri" w:hAnsi="Calibri"/>
          <w:color w:val="525866"/>
          <w:sz w:val="22"/>
        </w:rPr>
        <w:t xml:space="preserve"> reported capital markets and advisory revenue up 25% QoQ, with “record M&amp;A advisory fees” at Harris Williams. PNC noted capital markets will be down ~20% QoQ in Q3 as some activity was pulled forward.</w:t>
      </w:r>
    </w:p>
    <w:p>
      <w:pPr>
        <w:pStyle w:val="ListBullet"/>
        <w:ind w:left="360" w:hanging="360"/>
      </w:pPr>
      <w:r>
        <w:rPr>
          <w:rFonts w:ascii="Calibri" w:hAnsi="Calibri"/>
          <w:b/>
          <w:color w:val="525866"/>
          <w:sz w:val="22"/>
        </w:rPr>
        <w:t>CFG</w:t>
      </w:r>
      <w:r>
        <w:rPr>
          <w:rFonts w:ascii="Calibri" w:hAnsi="Calibri"/>
          <w:color w:val="525866"/>
          <w:sz w:val="22"/>
        </w:rPr>
        <w:t xml:space="preserve"> reported capital markets hit a “second quarter record,” with fees up 14% QoQ and 46% YoY, driven by loan syndications and bond underwriting. CFG noted M&amp;A pipelines are “strong and continue to build” and financial sponsors are “seeing levels of books not seen in the last five years.”</w:t>
      </w:r>
    </w:p>
    <w:p>
      <w:pPr>
        <w:pStyle w:val="ListBullet"/>
        <w:ind w:left="360" w:hanging="360"/>
      </w:pPr>
      <w:r>
        <w:rPr>
          <w:rFonts w:ascii="Calibri" w:hAnsi="Calibri"/>
          <w:b/>
          <w:color w:val="525866"/>
          <w:sz w:val="22"/>
        </w:rPr>
        <w:t>TFC</w:t>
      </w:r>
      <w:r>
        <w:rPr>
          <w:rFonts w:ascii="Calibri" w:hAnsi="Calibri"/>
          <w:color w:val="525866"/>
          <w:sz w:val="22"/>
        </w:rPr>
        <w:t xml:space="preserve"> reported investment banking and trading revenue up 72% YoY, with “stronger client activity, improved deal economics, and continued momentum across capital markets.”</w:t>
      </w:r>
    </w:p>
    <w:p>
      <w:pPr>
        <w:pStyle w:val="ListBullet"/>
        <w:ind w:left="360" w:hanging="360"/>
      </w:pPr>
      <w:r>
        <w:rPr>
          <w:rFonts w:ascii="Calibri" w:hAnsi="Calibri"/>
          <w:b/>
          <w:color w:val="525866"/>
          <w:sz w:val="22"/>
        </w:rPr>
        <w:t>USB</w:t>
      </w:r>
      <w:r>
        <w:rPr>
          <w:rFonts w:ascii="Calibri" w:hAnsi="Calibri"/>
          <w:color w:val="525866"/>
          <w:sz w:val="22"/>
        </w:rPr>
        <w:t xml:space="preserve"> reported capital markets revenue (ex-Btig) up 31% YoY, with strong activity in FX, syndications, and corporate bond underwriting.</w:t>
      </w:r>
    </w:p>
    <w:p>
      <w:pPr>
        <w:pStyle w:val="ListBullet"/>
        <w:ind w:left="360" w:hanging="360"/>
      </w:pPr>
      <w:r>
        <w:rPr>
          <w:rFonts w:ascii="Calibri" w:hAnsi="Calibri"/>
          <w:b/>
          <w:color w:val="525866"/>
          <w:sz w:val="22"/>
        </w:rPr>
        <w:t>RF</w:t>
      </w:r>
      <w:r>
        <w:rPr>
          <w:rFonts w:ascii="Calibri" w:hAnsi="Calibri"/>
          <w:color w:val="525866"/>
          <w:sz w:val="22"/>
        </w:rPr>
        <w:t xml:space="preserve"> reported capital markets income increased modestly QoQ, with improvements in loan syndications and M&amp;A advisory fees, though higher long-term rates impacted overall capital markets income.</w:t>
      </w:r>
    </w:p>
    <w:p>
      <w:pPr>
        <w:pStyle w:val="ListBullet"/>
        <w:ind w:left="360" w:hanging="360"/>
      </w:pPr>
      <w:r>
        <w:rPr>
          <w:rFonts w:ascii="Calibri" w:hAnsi="Calibri"/>
          <w:b/>
          <w:color w:val="525866"/>
          <w:sz w:val="22"/>
        </w:rPr>
        <w:t>FITB</w:t>
      </w:r>
      <w:r>
        <w:rPr>
          <w:rFonts w:ascii="Calibri" w:hAnsi="Calibri"/>
          <w:color w:val="525866"/>
          <w:sz w:val="22"/>
        </w:rPr>
        <w:t xml:space="preserve"> reported capital markets fees of $154M, “in line with the $600M run rate.”</w:t>
      </w:r>
    </w:p>
    <w:p>
      <w:r>
        <w:rPr>
          <w:rFonts w:ascii="Calibri" w:hAnsi="Calibri"/>
          <w:b/>
          <w:color w:val="525866"/>
          <w:sz w:val="22"/>
        </w:rPr>
        <w:t xml:space="preserve">Read-through for KEY: </w:t>
      </w:r>
      <w:r>
        <w:rPr>
          <w:rFonts w:ascii="Calibri" w:hAnsi="Calibri"/>
          <w:color w:val="525866"/>
          <w:sz w:val="22"/>
        </w:rPr>
        <w:t>The strong capital markets environment across peers is a positive read-through for KEY’s guided $175–180M IB fee range. CFG’s commentary on M&amp;A pipelines building and sponsors seeing elevated deal flow is particularly relevant for KEY’s middle-market M&amp;A business. The PNC caveat about Q3 pullback (activity pulled forward) is worth monitoring for KEY’s H2 IB fee trajectory.</w:t>
      </w:r>
    </w:p>
    <w:p>
      <w:pPr>
        <w:pStyle w:val="Heading3"/>
      </w:pPr>
      <w:r>
        <w:rPr>
          <w:rFonts w:ascii="Calibri" w:hAnsi="Calibri"/>
          <w:b/>
          <w:color w:val="3B4259"/>
          <w:sz w:val="24"/>
        </w:rPr>
        <w:t>Credit Quality — Broadly Benign ✅ Positive Read-Through</w:t>
      </w:r>
    </w:p>
    <w:p>
      <w:r>
        <w:rPr>
          <w:rFonts w:ascii="Calibri" w:hAnsi="Calibri"/>
          <w:color w:val="525866"/>
          <w:sz w:val="22"/>
        </w:rPr>
        <w:t>Credit quality remained strong or improved across the peer group in Q2 2026:</w:t>
      </w:r>
    </w:p>
    <w:p>
      <w:pPr>
        <w:pStyle w:val="ListBullet"/>
        <w:ind w:left="360" w:hanging="360"/>
      </w:pPr>
      <w:r>
        <w:rPr>
          <w:rFonts w:ascii="Calibri" w:hAnsi="Calibri"/>
          <w:b/>
          <w:color w:val="525866"/>
          <w:sz w:val="22"/>
        </w:rPr>
        <w:t>PNC</w:t>
      </w:r>
      <w:r>
        <w:rPr>
          <w:rFonts w:ascii="Calibri" w:hAnsi="Calibri"/>
          <w:color w:val="525866"/>
          <w:sz w:val="22"/>
        </w:rPr>
        <w:t xml:space="preserve"> reported NCO ratio of 25bps (down 3bps QoQ), NPLs down 10% QoQ to 0.55% of loans, and “overall credit quality remains strong.”</w:t>
      </w:r>
    </w:p>
    <w:p>
      <w:pPr>
        <w:pStyle w:val="ListBullet"/>
        <w:ind w:left="360" w:hanging="360"/>
      </w:pPr>
      <w:r>
        <w:rPr>
          <w:rFonts w:ascii="Calibri" w:hAnsi="Calibri"/>
          <w:b/>
          <w:color w:val="525866"/>
          <w:sz w:val="22"/>
        </w:rPr>
        <w:t>MTB</w:t>
      </w:r>
      <w:r>
        <w:rPr>
          <w:rFonts w:ascii="Calibri" w:hAnsi="Calibri"/>
          <w:color w:val="525866"/>
          <w:sz w:val="22"/>
        </w:rPr>
        <w:t xml:space="preserve"> reported NCOs of 23bps (down 8bps QoQ), “granular with no single net charge-off greater than $10M,” and non-accrual loans at a “two-decade low.”</w:t>
      </w:r>
    </w:p>
    <w:p>
      <w:pPr>
        <w:pStyle w:val="ListBullet"/>
        <w:ind w:left="360" w:hanging="360"/>
      </w:pPr>
      <w:r>
        <w:rPr>
          <w:rFonts w:ascii="Calibri" w:hAnsi="Calibri"/>
          <w:b/>
          <w:color w:val="525866"/>
          <w:sz w:val="22"/>
        </w:rPr>
        <w:t>RF</w:t>
      </w:r>
      <w:r>
        <w:rPr>
          <w:rFonts w:ascii="Calibri" w:hAnsi="Calibri"/>
          <w:color w:val="525866"/>
          <w:sz w:val="22"/>
        </w:rPr>
        <w:t xml:space="preserve"> reported NCOs declined 12bps QoQ to 42bps, with “credit largely normalized.” Business criticized and NPL ratios both declined.</w:t>
      </w:r>
    </w:p>
    <w:p>
      <w:pPr>
        <w:pStyle w:val="ListBullet"/>
        <w:ind w:left="360" w:hanging="360"/>
      </w:pPr>
      <w:r>
        <w:rPr>
          <w:rFonts w:ascii="Calibri" w:hAnsi="Calibri"/>
          <w:b/>
          <w:color w:val="525866"/>
          <w:sz w:val="22"/>
        </w:rPr>
        <w:t>CFG</w:t>
      </w:r>
      <w:r>
        <w:rPr>
          <w:rFonts w:ascii="Calibri" w:hAnsi="Calibri"/>
          <w:color w:val="525866"/>
          <w:sz w:val="22"/>
        </w:rPr>
        <w:t xml:space="preserve"> reported NCOs of 37bps (down 2bps QoQ), with non-accrual loans down 4% QoQ.</w:t>
      </w:r>
    </w:p>
    <w:p>
      <w:pPr>
        <w:pStyle w:val="ListBullet"/>
        <w:ind w:left="360" w:hanging="360"/>
      </w:pPr>
      <w:r>
        <w:rPr>
          <w:rFonts w:ascii="Calibri" w:hAnsi="Calibri"/>
          <w:b/>
          <w:color w:val="525866"/>
          <w:sz w:val="22"/>
        </w:rPr>
        <w:t>TFC</w:t>
      </w:r>
      <w:r>
        <w:rPr>
          <w:rFonts w:ascii="Calibri" w:hAnsi="Calibri"/>
          <w:color w:val="525866"/>
          <w:sz w:val="22"/>
        </w:rPr>
        <w:t xml:space="preserve"> reported NCOs of 50bps (down 11bps QoQ), with the allowance declining 2bps to 1.51%.</w:t>
      </w:r>
    </w:p>
    <w:p>
      <w:pPr>
        <w:pStyle w:val="ListBullet"/>
        <w:ind w:left="360" w:hanging="360"/>
      </w:pPr>
      <w:r>
        <w:rPr>
          <w:rFonts w:ascii="Calibri" w:hAnsi="Calibri"/>
          <w:b/>
          <w:color w:val="525866"/>
          <w:sz w:val="22"/>
        </w:rPr>
        <w:t>FITB</w:t>
      </w:r>
      <w:r>
        <w:rPr>
          <w:rFonts w:ascii="Calibri" w:hAnsi="Calibri"/>
          <w:color w:val="525866"/>
          <w:sz w:val="22"/>
        </w:rPr>
        <w:t xml:space="preserve"> reported NCO ratio of 30bps (down 7bps QoQ), “the lowest level since Q2 2023.”</w:t>
      </w:r>
    </w:p>
    <w:p>
      <w:pPr>
        <w:pStyle w:val="ListBullet"/>
        <w:ind w:left="360" w:hanging="360"/>
      </w:pPr>
      <w:r>
        <w:rPr>
          <w:rFonts w:ascii="Calibri" w:hAnsi="Calibri"/>
          <w:b/>
          <w:color w:val="525866"/>
          <w:sz w:val="22"/>
        </w:rPr>
        <w:t>USB</w:t>
      </w:r>
      <w:r>
        <w:rPr>
          <w:rFonts w:ascii="Calibri" w:hAnsi="Calibri"/>
          <w:color w:val="525866"/>
          <w:sz w:val="22"/>
        </w:rPr>
        <w:t xml:space="preserve"> reported NCO ratio of 53bps (down 3bps QoQ), with NPA ratio improving 5bps to 0.33%.</w:t>
      </w:r>
    </w:p>
    <w:p>
      <w:r>
        <w:rPr>
          <w:rFonts w:ascii="Calibri" w:hAnsi="Calibri"/>
          <w:b/>
          <w:color w:val="525866"/>
          <w:sz w:val="22"/>
        </w:rPr>
        <w:t xml:space="preserve">Read-through for KEY: </w:t>
      </w:r>
      <w:r>
        <w:rPr>
          <w:rFonts w:ascii="Calibri" w:hAnsi="Calibri"/>
          <w:color w:val="525866"/>
          <w:sz w:val="22"/>
        </w:rPr>
        <w:t>The broad improvement in credit quality across peers is a strong positive read-through for KEY’s guided ~40bps charge-off rate. Management flagged at the June conference that some credit metrics might “plateau or tick up slightly” in oil/gas, ag, and transportation — but the peer data suggests the overall credit environment remains benign, reducing the risk of a negative credit surprise.</w:t>
      </w:r>
    </w:p>
    <w:p>
      <w:pPr>
        <w:pStyle w:val="Heading3"/>
      </w:pPr>
      <w:r>
        <w:rPr>
          <w:rFonts w:ascii="Calibri" w:hAnsi="Calibri"/>
          <w:b/>
          <w:color w:val="3B4259"/>
          <w:sz w:val="24"/>
        </w:rPr>
        <w:t>Deposit Trends — Stable to Growing ○ Neutral / Positive Read-Through</w:t>
      </w:r>
    </w:p>
    <w:p>
      <w:r>
        <w:rPr>
          <w:rFonts w:ascii="Calibri" w:hAnsi="Calibri"/>
          <w:color w:val="525866"/>
          <w:sz w:val="22"/>
        </w:rPr>
        <w:t>Deposit trends were mixed but generally stable across peers:</w:t>
      </w:r>
    </w:p>
    <w:p>
      <w:pPr>
        <w:pStyle w:val="ListBullet"/>
        <w:ind w:left="360" w:hanging="360"/>
      </w:pPr>
      <w:r>
        <w:rPr>
          <w:rFonts w:ascii="Calibri" w:hAnsi="Calibri"/>
          <w:b/>
          <w:color w:val="525866"/>
          <w:sz w:val="22"/>
        </w:rPr>
        <w:t>PNC</w:t>
      </w:r>
      <w:r>
        <w:rPr>
          <w:rFonts w:ascii="Calibri" w:hAnsi="Calibri"/>
          <w:color w:val="525866"/>
          <w:sz w:val="22"/>
        </w:rPr>
        <w:t xml:space="preserve"> reported average deposits stable QoQ, with non-interest bearing deposits growing 4% QoQ to 23% of total deposits.</w:t>
      </w:r>
    </w:p>
    <w:p>
      <w:pPr>
        <w:pStyle w:val="ListBullet"/>
        <w:ind w:left="360" w:hanging="360"/>
      </w:pPr>
      <w:r>
        <w:rPr>
          <w:rFonts w:ascii="Calibri" w:hAnsi="Calibri"/>
          <w:b/>
          <w:color w:val="525866"/>
          <w:sz w:val="22"/>
        </w:rPr>
        <w:t>RF</w:t>
      </w:r>
      <w:r>
        <w:rPr>
          <w:rFonts w:ascii="Calibri" w:hAnsi="Calibri"/>
          <w:color w:val="525866"/>
          <w:sz w:val="22"/>
        </w:rPr>
        <w:t xml:space="preserve"> reported average deposits grew modestly, with NIB deposits up &gt;1% QoQ. Interest-bearing deposit costs fell 3bps to 1.69%.</w:t>
      </w:r>
    </w:p>
    <w:p>
      <w:pPr>
        <w:pStyle w:val="ListBullet"/>
        <w:ind w:left="360" w:hanging="360"/>
      </w:pPr>
      <w:r>
        <w:rPr>
          <w:rFonts w:ascii="Calibri" w:hAnsi="Calibri"/>
          <w:b/>
          <w:color w:val="525866"/>
          <w:sz w:val="22"/>
        </w:rPr>
        <w:t>MTB</w:t>
      </w:r>
      <w:r>
        <w:rPr>
          <w:rFonts w:ascii="Calibri" w:hAnsi="Calibri"/>
          <w:color w:val="525866"/>
          <w:sz w:val="22"/>
        </w:rPr>
        <w:t xml:space="preserve"> reported average deposits declined $0.7B QoQ but end-of-period deposits increased to $168.9B, driven by commercial and trust demand deposits.</w:t>
      </w:r>
    </w:p>
    <w:p>
      <w:pPr>
        <w:pStyle w:val="ListBullet"/>
        <w:ind w:left="360" w:hanging="360"/>
      </w:pPr>
      <w:r>
        <w:rPr>
          <w:rFonts w:ascii="Calibri" w:hAnsi="Calibri"/>
          <w:b/>
          <w:color w:val="525866"/>
          <w:sz w:val="22"/>
        </w:rPr>
        <w:t>TFC</w:t>
      </w:r>
      <w:r>
        <w:rPr>
          <w:rFonts w:ascii="Calibri" w:hAnsi="Calibri"/>
          <w:color w:val="525866"/>
          <w:sz w:val="22"/>
        </w:rPr>
        <w:t xml:space="preserve"> reported average deposits up 1.5% QoQ, with interest-bearing deposit costs up 1bp to 2.10%.</w:t>
      </w:r>
    </w:p>
    <w:p>
      <w:pPr>
        <w:pStyle w:val="ListBullet"/>
        <w:ind w:left="360" w:hanging="360"/>
      </w:pPr>
      <w:r>
        <w:rPr>
          <w:rFonts w:ascii="Calibri" w:hAnsi="Calibri"/>
          <w:b/>
          <w:color w:val="525866"/>
          <w:sz w:val="22"/>
        </w:rPr>
        <w:t>USB</w:t>
      </w:r>
      <w:r>
        <w:rPr>
          <w:rFonts w:ascii="Calibri" w:hAnsi="Calibri"/>
          <w:color w:val="525866"/>
          <w:sz w:val="22"/>
        </w:rPr>
        <w:t xml:space="preserve"> reported average deposits flat QoQ, with consumer deposits reaching a “third consecutive quarter of record” levels.</w:t>
      </w:r>
    </w:p>
    <w:p>
      <w:r>
        <w:rPr>
          <w:rFonts w:ascii="Calibri" w:hAnsi="Calibri"/>
          <w:b/>
          <w:color w:val="525866"/>
          <w:sz w:val="22"/>
        </w:rPr>
        <w:t xml:space="preserve">Read-through for KEY: </w:t>
      </w:r>
      <w:r>
        <w:rPr>
          <w:rFonts w:ascii="Calibri" w:hAnsi="Calibri"/>
          <w:color w:val="525866"/>
          <w:sz w:val="22"/>
        </w:rPr>
        <w:t>KEY guided deposits to trough in early May and grow through year-end. The peer data is consistent with this — most banks saw seasonal Q2 deposit patterns with end-of-period balances recovering. KEY’s front-book consumer deposit rate has been held at 350bps since March 2025, suggesting limited repricing pressure.</w:t>
      </w:r>
    </w:p>
    <w:p>
      <w:pPr>
        <w:pStyle w:val="Heading3"/>
      </w:pPr>
      <w:r>
        <w:rPr>
          <w:rFonts w:ascii="Calibri" w:hAnsi="Calibri"/>
          <w:b/>
          <w:color w:val="3B4259"/>
          <w:sz w:val="24"/>
        </w:rPr>
        <w:t>Macro Outlook — Cautiously Optimistic ○ Neutral Read-Through</w:t>
      </w:r>
    </w:p>
    <w:p>
      <w:r>
        <w:rPr>
          <w:rFonts w:ascii="Calibri" w:hAnsi="Calibri"/>
          <w:color w:val="525866"/>
          <w:sz w:val="22"/>
        </w:rPr>
        <w:t>Peers described the macro environment as “solid” (RF), “stable” (USB, PNC), and “cautiously optimistic” (MTB), with consumer spending healthy and commercial clients generally well-positioned despite ongoing uncertainty:</w:t>
      </w:r>
    </w:p>
    <w:p>
      <w:pPr>
        <w:pStyle w:val="ListBullet"/>
        <w:ind w:left="360" w:hanging="360"/>
      </w:pPr>
      <w:r>
        <w:rPr>
          <w:rFonts w:ascii="Calibri" w:hAnsi="Calibri"/>
          <w:b/>
          <w:color w:val="525866"/>
          <w:sz w:val="22"/>
        </w:rPr>
        <w:t>MTB</w:t>
      </w:r>
      <w:r>
        <w:rPr>
          <w:rFonts w:ascii="Calibri" w:hAnsi="Calibri"/>
          <w:color w:val="525866"/>
          <w:sz w:val="22"/>
        </w:rPr>
        <w:t xml:space="preserve"> noted the U.S. economy “held up well through the energy shock” with “cautious optimism for continued growth,” though consumer spending has slowed.</w:t>
      </w:r>
    </w:p>
    <w:p>
      <w:pPr>
        <w:pStyle w:val="ListBullet"/>
        <w:ind w:left="360" w:hanging="360"/>
      </w:pPr>
      <w:r>
        <w:rPr>
          <w:rFonts w:ascii="Calibri" w:hAnsi="Calibri"/>
          <w:b/>
          <w:color w:val="525866"/>
          <w:sz w:val="22"/>
        </w:rPr>
        <w:t>PNC</w:t>
      </w:r>
      <w:r>
        <w:rPr>
          <w:rFonts w:ascii="Calibri" w:hAnsi="Calibri"/>
          <w:color w:val="525866"/>
          <w:sz w:val="22"/>
        </w:rPr>
        <w:t xml:space="preserve"> base case assumes GDP growth of ~2.1% in 2026 with unemployment ending the year at ~4.3%, and expects the Fed to keep rates stable throughout 2026.</w:t>
      </w:r>
    </w:p>
    <w:p>
      <w:pPr>
        <w:pStyle w:val="ListBullet"/>
        <w:ind w:left="360" w:hanging="360"/>
      </w:pPr>
      <w:r>
        <w:rPr>
          <w:rFonts w:ascii="Calibri" w:hAnsi="Calibri"/>
          <w:b/>
          <w:color w:val="525866"/>
          <w:sz w:val="22"/>
        </w:rPr>
        <w:t>FITB</w:t>
      </w:r>
      <w:r>
        <w:rPr>
          <w:rFonts w:ascii="Calibri" w:hAnsi="Calibri"/>
          <w:color w:val="525866"/>
          <w:sz w:val="22"/>
        </w:rPr>
        <w:t xml:space="preserve"> forward curve assumes a 25bp rate hike in September 2026.</w:t>
      </w:r>
    </w:p>
    <w:p>
      <w:pPr>
        <w:pStyle w:val="ListBullet"/>
        <w:ind w:left="360" w:hanging="360"/>
      </w:pPr>
      <w:r>
        <w:rPr>
          <w:rFonts w:ascii="Calibri" w:hAnsi="Calibri"/>
          <w:b/>
          <w:color w:val="525866"/>
          <w:sz w:val="22"/>
        </w:rPr>
        <w:t>RF</w:t>
      </w:r>
      <w:r>
        <w:rPr>
          <w:rFonts w:ascii="Calibri" w:hAnsi="Calibri"/>
          <w:color w:val="525866"/>
          <w:sz w:val="22"/>
        </w:rPr>
        <w:t xml:space="preserve"> described the operating environment as “solid” with “economic activity solid and despite ongoing uncertainty, businesses are generally well positioned.”</w:t>
      </w:r>
    </w:p>
    <w:p>
      <w:r>
        <w:rPr>
          <w:rFonts w:ascii="Calibri" w:hAnsi="Calibri"/>
          <w:b/>
          <w:color w:val="525866"/>
          <w:sz w:val="22"/>
        </w:rPr>
        <w:t xml:space="preserve">Read-through for KEY: </w:t>
      </w:r>
      <w:r>
        <w:rPr>
          <w:rFonts w:ascii="Calibri" w:hAnsi="Calibri"/>
          <w:color w:val="525866"/>
          <w:sz w:val="22"/>
        </w:rPr>
        <w:t>The macro backdrop described by peers is consistent with KEY’s own characterization — cautiously optimistic, with pockets of softness in oil/gas, ag, and transportation but no broad deterioration. The rate hike scenario flagged by FITB (25bp in September) would be a modest headwind for KEY given its slight liability sensitivity on the front end, but management has noted the balance sheet is “fairly neutral” across a broad range of rate scenarios.</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Read-Through for KEY</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C&amp;I Loan Growth</w:t>
            </w:r>
          </w:p>
        </w:tc>
        <w:tc>
          <w:tcPr>
            <w:tcW w:type="dxa" w:w="2160"/>
          </w:tcPr>
          <w:p>
            <w:r>
              <w:rPr>
                <w:rFonts w:ascii="Calibri" w:hAnsi="Calibri"/>
                <w:sz w:val="22"/>
              </w:rPr>
              <w:t>Broad-based strength across all peers; MTB strongest since 2012</w:t>
            </w:r>
          </w:p>
        </w:tc>
        <w:tc>
          <w:tcPr>
            <w:tcW w:type="dxa" w:w="2160"/>
          </w:tcPr>
          <w:p>
            <w:r>
              <w:rPr>
                <w:rFonts w:ascii="Calibri" w:hAnsi="Calibri"/>
                <w:sz w:val="22"/>
              </w:rPr>
              <w:t>Supports KEY’s Q2 commercial loan growth; potential upside to guidance</w:t>
            </w:r>
          </w:p>
        </w:tc>
        <w:tc>
          <w:tcPr>
            <w:tcW w:type="dxa" w:w="2160"/>
          </w:tcPr>
          <w:p>
            <w:r>
              <w:rPr>
                <w:rFonts w:ascii="Calibri" w:hAnsi="Calibri"/>
                <w:b/>
                <w:color w:val="30A46C"/>
                <w:sz w:val="22"/>
              </w:rPr>
              <w:t>Positive</w:t>
            </w:r>
          </w:p>
        </w:tc>
      </w:tr>
      <w:tr>
        <w:tc>
          <w:tcPr>
            <w:tcW w:type="dxa" w:w="2160"/>
          </w:tcPr>
          <w:p>
            <w:r>
              <w:rPr>
                <w:rFonts w:ascii="Calibri" w:hAnsi="Calibri"/>
                <w:sz w:val="22"/>
              </w:rPr>
              <w:t>NII / NIM</w:t>
            </w:r>
          </w:p>
        </w:tc>
        <w:tc>
          <w:tcPr>
            <w:tcW w:type="dxa" w:w="2160"/>
          </w:tcPr>
          <w:p>
            <w:r>
              <w:rPr>
                <w:rFonts w:ascii="Calibri" w:hAnsi="Calibri"/>
                <w:sz w:val="22"/>
              </w:rPr>
              <w:t>NII up 2–4% QoQ across peers; NIM expanding via fixed-rate repricing</w:t>
            </w:r>
          </w:p>
        </w:tc>
        <w:tc>
          <w:tcPr>
            <w:tcW w:type="dxa" w:w="2160"/>
          </w:tcPr>
          <w:p>
            <w:r>
              <w:rPr>
                <w:rFonts w:ascii="Calibri" w:hAnsi="Calibri"/>
                <w:sz w:val="22"/>
              </w:rPr>
              <w:t>Supports KEY’s guided ~3% QoQ NII growth and 3.05% NIM exit</w:t>
            </w:r>
          </w:p>
        </w:tc>
        <w:tc>
          <w:tcPr>
            <w:tcW w:type="dxa" w:w="2160"/>
          </w:tcPr>
          <w:p>
            <w:r>
              <w:rPr>
                <w:rFonts w:ascii="Calibri" w:hAnsi="Calibri"/>
                <w:b/>
                <w:color w:val="30A46C"/>
                <w:sz w:val="22"/>
              </w:rPr>
              <w:t>Positive</w:t>
            </w:r>
          </w:p>
        </w:tc>
      </w:tr>
      <w:tr>
        <w:tc>
          <w:tcPr>
            <w:tcW w:type="dxa" w:w="2160"/>
          </w:tcPr>
          <w:p>
            <w:r>
              <w:rPr>
                <w:rFonts w:ascii="Calibri" w:hAnsi="Calibri"/>
                <w:sz w:val="22"/>
              </w:rPr>
              <w:t>TFC NII Guide Cut</w:t>
            </w:r>
          </w:p>
        </w:tc>
        <w:tc>
          <w:tcPr>
            <w:tcW w:type="dxa" w:w="2160"/>
          </w:tcPr>
          <w:p>
            <w:r>
              <w:rPr>
                <w:rFonts w:ascii="Calibri" w:hAnsi="Calibri"/>
                <w:sz w:val="22"/>
              </w:rPr>
              <w:t>TFC cut FY NII guide to +1–1.5% from +2–3%; idiosyncratic portfolio exits</w:t>
            </w:r>
          </w:p>
        </w:tc>
        <w:tc>
          <w:tcPr>
            <w:tcW w:type="dxa" w:w="2160"/>
          </w:tcPr>
          <w:p>
            <w:r>
              <w:rPr>
                <w:rFonts w:ascii="Calibri" w:hAnsi="Calibri"/>
                <w:sz w:val="22"/>
              </w:rPr>
              <w:t>Not a read-through for KEY; driven by deliberate consumer portfolio repositioning</w:t>
            </w:r>
          </w:p>
        </w:tc>
        <w:tc>
          <w:tcPr>
            <w:tcW w:type="dxa" w:w="2160"/>
          </w:tcPr>
          <w:p>
            <w:r>
              <w:rPr>
                <w:rFonts w:ascii="Calibri" w:hAnsi="Calibri"/>
                <w:i/>
                <w:sz w:val="22"/>
              </w:rPr>
              <w:t>Neutral</w:t>
            </w:r>
          </w:p>
        </w:tc>
      </w:tr>
      <w:tr>
        <w:tc>
          <w:tcPr>
            <w:tcW w:type="dxa" w:w="2160"/>
          </w:tcPr>
          <w:p>
            <w:r>
              <w:rPr>
                <w:rFonts w:ascii="Calibri" w:hAnsi="Calibri"/>
                <w:sz w:val="22"/>
              </w:rPr>
              <w:t>IB / Capital Markets</w:t>
            </w:r>
          </w:p>
        </w:tc>
        <w:tc>
          <w:tcPr>
            <w:tcW w:type="dxa" w:w="2160"/>
          </w:tcPr>
          <w:p>
            <w:r>
              <w:rPr>
                <w:rFonts w:ascii="Calibri" w:hAnsi="Calibri"/>
                <w:sz w:val="22"/>
              </w:rPr>
              <w:t>Record or near-record quarters at PNC, CFG, TFC; M&amp;A pipelines building</w:t>
            </w:r>
          </w:p>
        </w:tc>
        <w:tc>
          <w:tcPr>
            <w:tcW w:type="dxa" w:w="2160"/>
          </w:tcPr>
          <w:p>
            <w:r>
              <w:rPr>
                <w:rFonts w:ascii="Calibri" w:hAnsi="Calibri"/>
                <w:sz w:val="22"/>
              </w:rPr>
              <w:t>Positive for KEY’s $175–180M IB fee guidance; M&amp;A conversion still the key watch</w:t>
            </w:r>
          </w:p>
        </w:tc>
        <w:tc>
          <w:tcPr>
            <w:tcW w:type="dxa" w:w="2160"/>
          </w:tcPr>
          <w:p>
            <w:r>
              <w:rPr>
                <w:rFonts w:ascii="Calibri" w:hAnsi="Calibri"/>
                <w:b/>
                <w:color w:val="30A46C"/>
                <w:sz w:val="22"/>
              </w:rPr>
              <w:t>Positive</w:t>
            </w:r>
          </w:p>
        </w:tc>
      </w:tr>
      <w:tr>
        <w:tc>
          <w:tcPr>
            <w:tcW w:type="dxa" w:w="2160"/>
          </w:tcPr>
          <w:p>
            <w:r>
              <w:rPr>
                <w:rFonts w:ascii="Calibri" w:hAnsi="Calibri"/>
                <w:sz w:val="22"/>
              </w:rPr>
              <w:t>Credit Quality</w:t>
            </w:r>
          </w:p>
        </w:tc>
        <w:tc>
          <w:tcPr>
            <w:tcW w:type="dxa" w:w="2160"/>
          </w:tcPr>
          <w:p>
            <w:r>
              <w:rPr>
                <w:rFonts w:ascii="Calibri" w:hAnsi="Calibri"/>
                <w:sz w:val="22"/>
              </w:rPr>
              <w:t>NCOs declining or stable across all 7 peers; MTB at two-decade low NPLs</w:t>
            </w:r>
          </w:p>
        </w:tc>
        <w:tc>
          <w:tcPr>
            <w:tcW w:type="dxa" w:w="2160"/>
          </w:tcPr>
          <w:p>
            <w:r>
              <w:rPr>
                <w:rFonts w:ascii="Calibri" w:hAnsi="Calibri"/>
                <w:sz w:val="22"/>
              </w:rPr>
              <w:t>Supports KEY’s ~40bps NCO guidance; reduces risk of negative credit surprise</w:t>
            </w:r>
          </w:p>
        </w:tc>
        <w:tc>
          <w:tcPr>
            <w:tcW w:type="dxa" w:w="2160"/>
          </w:tcPr>
          <w:p>
            <w:r>
              <w:rPr>
                <w:rFonts w:ascii="Calibri" w:hAnsi="Calibri"/>
                <w:b/>
                <w:color w:val="30A46C"/>
                <w:sz w:val="22"/>
              </w:rPr>
              <w:t>Positive</w:t>
            </w:r>
          </w:p>
        </w:tc>
      </w:tr>
      <w:tr>
        <w:tc>
          <w:tcPr>
            <w:tcW w:type="dxa" w:w="2160"/>
          </w:tcPr>
          <w:p>
            <w:r>
              <w:rPr>
                <w:rFonts w:ascii="Calibri" w:hAnsi="Calibri"/>
                <w:sz w:val="22"/>
              </w:rPr>
              <w:t>Deposit Trends</w:t>
            </w:r>
          </w:p>
        </w:tc>
        <w:tc>
          <w:tcPr>
            <w:tcW w:type="dxa" w:w="2160"/>
          </w:tcPr>
          <w:p>
            <w:r>
              <w:rPr>
                <w:rFonts w:ascii="Calibri" w:hAnsi="Calibri"/>
                <w:sz w:val="22"/>
              </w:rPr>
              <w:t>Stable to growing; NIB deposits recovering; deposit costs flat to down</w:t>
            </w:r>
          </w:p>
        </w:tc>
        <w:tc>
          <w:tcPr>
            <w:tcW w:type="dxa" w:w="2160"/>
          </w:tcPr>
          <w:p>
            <w:r>
              <w:rPr>
                <w:rFonts w:ascii="Calibri" w:hAnsi="Calibri"/>
                <w:sz w:val="22"/>
              </w:rPr>
              <w:t>Consistent with KEY’s guided deposit trough in early May and recovery through YE</w:t>
            </w:r>
          </w:p>
        </w:tc>
        <w:tc>
          <w:tcPr>
            <w:tcW w:type="dxa" w:w="2160"/>
          </w:tcPr>
          <w:p>
            <w:r>
              <w:rPr>
                <w:rFonts w:ascii="Calibri" w:hAnsi="Calibri"/>
                <w:i/>
                <w:sz w:val="22"/>
              </w:rPr>
              <w:t>Neutral / Positive</w:t>
            </w:r>
          </w:p>
        </w:tc>
      </w:tr>
      <w:tr>
        <w:tc>
          <w:tcPr>
            <w:tcW w:type="dxa" w:w="2160"/>
          </w:tcPr>
          <w:p>
            <w:r>
              <w:rPr>
                <w:rFonts w:ascii="Calibri" w:hAnsi="Calibri"/>
                <w:sz w:val="22"/>
              </w:rPr>
              <w:t>Macro / Rate Outlook</w:t>
            </w:r>
          </w:p>
        </w:tc>
        <w:tc>
          <w:tcPr>
            <w:tcW w:type="dxa" w:w="2160"/>
          </w:tcPr>
          <w:p>
            <w:r>
              <w:rPr>
                <w:rFonts w:ascii="Calibri" w:hAnsi="Calibri"/>
                <w:sz w:val="22"/>
              </w:rPr>
              <w:t>Cautiously optimistic; FITB pricing in 25bp hike in Sep 2026</w:t>
            </w:r>
          </w:p>
        </w:tc>
        <w:tc>
          <w:tcPr>
            <w:tcW w:type="dxa" w:w="2160"/>
          </w:tcPr>
          <w:p>
            <w:r>
              <w:rPr>
                <w:rFonts w:ascii="Calibri" w:hAnsi="Calibri"/>
                <w:sz w:val="22"/>
              </w:rPr>
              <w:t>Modest headwind if hike materializes; KEY balance sheet “fairly neutral” to rates</w:t>
            </w:r>
          </w:p>
        </w:tc>
        <w:tc>
          <w:tcPr>
            <w:tcW w:type="dxa" w:w="2160"/>
          </w:tcPr>
          <w:p>
            <w:r>
              <w:rPr>
                <w:rFonts w:ascii="Calibri" w:hAnsi="Calibri"/>
                <w:i/>
                <w:sz w:val="22"/>
              </w:rPr>
              <w:t>Neutral</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No open-market buys since Q1 earnings; two discretionary sales by a Director and the CHRO</w:t>
      </w:r>
      <w:r>
        <w:rPr>
          <w:rFonts w:ascii="Calibri" w:hAnsi="Calibri"/>
          <w:color w:val="525866"/>
          <w:sz w:val="22"/>
        </w:rPr>
        <w:t xml:space="preserve"> — neither is unusual in size or timing, and the absence of insider buying is not a negative signal given the stock’s appreciation and the company’s active buyback program.</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Approx. Value</w:t>
            </w:r>
          </w:p>
        </w:tc>
        <w:tc>
          <w:tcPr>
            <w:tcW w:type="dxa" w:w="1080"/>
            <w:shd w:val="clear" w:color="auto" w:fill="3B4259"/>
          </w:tcPr>
          <w:p>
            <w:r>
              <w:rPr>
                <w:rFonts w:ascii="Calibri" w:hAnsi="Calibri"/>
                <w:b/>
                <w:color w:val="FFFFFF"/>
                <w:sz w:val="22"/>
              </w:rPr>
              <w:t>Date (Effective)</w:t>
            </w:r>
          </w:p>
        </w:tc>
        <w:tc>
          <w:tcPr>
            <w:tcW w:type="dxa" w:w="1080"/>
            <w:shd w:val="clear" w:color="auto" w:fill="3B4259"/>
          </w:tcPr>
          <w:p>
            <w:r>
              <w:rPr>
                <w:rFonts w:ascii="Calibri" w:hAnsi="Calibri"/>
                <w:b/>
                <w:color w:val="FFFFFF"/>
                <w:sz w:val="22"/>
              </w:rPr>
              <w:t>Shares Retained</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Elizabeth R. Gile</w:t>
            </w:r>
          </w:p>
        </w:tc>
        <w:tc>
          <w:tcPr>
            <w:tcW w:type="dxa" w:w="1080"/>
          </w:tcPr>
          <w:p>
            <w:r>
              <w:rPr>
                <w:rFonts w:ascii="Calibri" w:hAnsi="Calibri"/>
                <w:sz w:val="22"/>
              </w:rPr>
              <w:t>Director</w:t>
            </w:r>
          </w:p>
        </w:tc>
        <w:tc>
          <w:tcPr>
            <w:tcW w:type="dxa" w:w="1080"/>
          </w:tcPr>
          <w:p>
            <w:r>
              <w:rPr>
                <w:rFonts w:ascii="Calibri" w:hAnsi="Calibri"/>
                <w:sz w:val="22"/>
              </w:rPr>
              <w:t>Open Market Sale</w:t>
            </w:r>
          </w:p>
        </w:tc>
        <w:tc>
          <w:tcPr>
            <w:tcW w:type="dxa" w:w="1080"/>
          </w:tcPr>
          <w:p>
            <w:r>
              <w:rPr>
                <w:rFonts w:ascii="Calibri" w:hAnsi="Calibri"/>
                <w:sz w:val="22"/>
              </w:rPr>
              <w:t>23,946</w:t>
            </w:r>
          </w:p>
        </w:tc>
        <w:tc>
          <w:tcPr>
            <w:tcW w:type="dxa" w:w="1080"/>
          </w:tcPr>
          <w:p>
            <w:r>
              <w:rPr>
                <w:rFonts w:ascii="Calibri" w:hAnsi="Calibri"/>
                <w:sz w:val="22"/>
              </w:rPr>
              <w:t>~$500K</w:t>
            </w:r>
          </w:p>
        </w:tc>
        <w:tc>
          <w:tcPr>
            <w:tcW w:type="dxa" w:w="1080"/>
          </w:tcPr>
          <w:p>
            <w:r>
              <w:rPr>
                <w:rFonts w:ascii="Calibri" w:hAnsi="Calibri"/>
                <w:sz w:val="22"/>
              </w:rPr>
              <w:t>June 3, 2026</w:t>
            </w:r>
          </w:p>
        </w:tc>
        <w:tc>
          <w:tcPr>
            <w:tcW w:type="dxa" w:w="1080"/>
          </w:tcPr>
          <w:p>
            <w:r>
              <w:rPr>
                <w:rFonts w:ascii="Calibri" w:hAnsi="Calibri"/>
                <w:sz w:val="22"/>
              </w:rPr>
              <w:t>21,255</w:t>
            </w:r>
          </w:p>
        </w:tc>
        <w:tc>
          <w:tcPr>
            <w:tcW w:type="dxa" w:w="1080"/>
          </w:tcPr>
          <w:p>
            <w:r>
              <w:rPr>
                <w:rFonts w:ascii="Calibri" w:hAnsi="Calibri"/>
                <w:sz w:val="22"/>
              </w:rPr>
              <w:t>Discretionary; not under 10b5-1 plan</w:t>
            </w:r>
          </w:p>
        </w:tc>
      </w:tr>
      <w:tr>
        <w:tc>
          <w:tcPr>
            <w:tcW w:type="dxa" w:w="1080"/>
          </w:tcPr>
          <w:p>
            <w:r>
              <w:rPr>
                <w:rFonts w:ascii="Calibri" w:hAnsi="Calibri"/>
                <w:sz w:val="22"/>
              </w:rPr>
              <w:t>Angela G. Mago</w:t>
            </w:r>
          </w:p>
        </w:tc>
        <w:tc>
          <w:tcPr>
            <w:tcW w:type="dxa" w:w="1080"/>
          </w:tcPr>
          <w:p>
            <w:r>
              <w:rPr>
                <w:rFonts w:ascii="Calibri" w:hAnsi="Calibri"/>
                <w:sz w:val="22"/>
              </w:rPr>
              <w:t>Chief Human Resources Officer</w:t>
            </w:r>
          </w:p>
        </w:tc>
        <w:tc>
          <w:tcPr>
            <w:tcW w:type="dxa" w:w="1080"/>
          </w:tcPr>
          <w:p>
            <w:r>
              <w:rPr>
                <w:rFonts w:ascii="Calibri" w:hAnsi="Calibri"/>
                <w:sz w:val="22"/>
              </w:rPr>
              <w:t>Open Market Sale</w:t>
            </w:r>
          </w:p>
        </w:tc>
        <w:tc>
          <w:tcPr>
            <w:tcW w:type="dxa" w:w="1080"/>
          </w:tcPr>
          <w:p>
            <w:r>
              <w:rPr>
                <w:rFonts w:ascii="Calibri" w:hAnsi="Calibri"/>
                <w:sz w:val="22"/>
              </w:rPr>
              <w:t>22,826</w:t>
            </w:r>
          </w:p>
        </w:tc>
        <w:tc>
          <w:tcPr>
            <w:tcW w:type="dxa" w:w="1080"/>
          </w:tcPr>
          <w:p>
            <w:r>
              <w:rPr>
                <w:rFonts w:ascii="Calibri" w:hAnsi="Calibri"/>
                <w:sz w:val="22"/>
              </w:rPr>
              <w:t>~$490K</w:t>
            </w:r>
          </w:p>
        </w:tc>
        <w:tc>
          <w:tcPr>
            <w:tcW w:type="dxa" w:w="1080"/>
          </w:tcPr>
          <w:p>
            <w:r>
              <w:rPr>
                <w:rFonts w:ascii="Calibri" w:hAnsi="Calibri"/>
                <w:sz w:val="22"/>
              </w:rPr>
              <w:t>May 8, 2026</w:t>
            </w:r>
          </w:p>
        </w:tc>
        <w:tc>
          <w:tcPr>
            <w:tcW w:type="dxa" w:w="1080"/>
          </w:tcPr>
          <w:p>
            <w:r>
              <w:rPr>
                <w:rFonts w:ascii="Calibri" w:hAnsi="Calibri"/>
                <w:sz w:val="22"/>
              </w:rPr>
              <w:t>281,564</w:t>
            </w:r>
          </w:p>
        </w:tc>
        <w:tc>
          <w:tcPr>
            <w:tcW w:type="dxa" w:w="1080"/>
          </w:tcPr>
          <w:p>
            <w:r>
              <w:rPr>
                <w:rFonts w:ascii="Calibri" w:hAnsi="Calibri"/>
                <w:sz w:val="22"/>
              </w:rPr>
              <w:t>Discretionary; not under 10b5-1 plan</w:t>
            </w:r>
          </w:p>
        </w:tc>
      </w:tr>
    </w:tbl>
    <w:p>
      <w:r>
        <w:rPr>
          <w:rFonts w:ascii="Calibri" w:hAnsi="Calibri"/>
          <w:i/>
          <w:color w:val="525866"/>
          <w:sz w:val="22"/>
        </w:rPr>
        <w:t>No open-market purchases were recorded since Q1 earnings. The two sales are modest in size relative to total holdings and are not clustered or unusual in timing. The company’s aggressive buyback program ($1.3B+ in 2026) is the primary capital return signal, and the absence of insider buying is not a red flag in this context. Source: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