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kmi-earnings-predictions--2026-07-22"/>
    <w:p>
      <w:pPr>
        <w:pStyle w:val="Heading1"/>
      </w:pPr>
      <w:r>
        <w:t xml:space="preserve">KMI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~$0.31 vs. cons $0.31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2.05B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~$4.15B vs. cons $4.29B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(formal 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~$8.85B vs. cons/budget $8.6B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~$1.40 vs. cons $1.37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Project 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~$10.5B vs. $10.1B prior (end-Q2'26)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FERC certificates SSE4 + MSX / Monument close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3.5</m:t>
              </m:r>
              <m:r>
                <m:t>B</m:t>
              </m:r>
              <m:r>
                <m:t>S</m:t>
              </m:r>
              <m:r>
                <m:t>S</m:t>
              </m:r>
              <m:r>
                <m:t>E</m:t>
              </m:r>
              <m:r>
                <m:t>4</m:t>
              </m:r>
              <m:r>
                <m:rPr>
                  <m:sty m:val="p"/>
                </m:rPr>
                <m:t>+</m:t>
              </m:r>
              <m:r>
                <m:t> </m:t>
              </m:r>
            </m:oMath>
            <w:r>
              <w:t xml:space="preserve">1.7B MSX vs. $10.1B backlog (July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-0.7%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KMI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Seasonally quiet in-line quarter (EPS ~$0.31, big step down from Q1's weather/one-time-aided $0.48) against a ~22x valuation that already prices the gas-supercycle narrative. A modest EBITDA raise/Monument fold-in is largely expected, so upside is capped; if FERC approvals surprise positively there is offsetting torque. Out-period math is the drag — Street trims H2 estimates as Q1 one-timers roll off and recognizes the raise is mostly carryover, not organic acceleration — pulling residuals lower into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2026-07-22T00:29:45Z</dcterms:created>
  <dcterms:modified xsi:type="dcterms:W3CDTF">2026-07-22T00:29:45Z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