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kmi-earnings-predictions--2026-07-22"/>
    <w:p>
      <w:pPr>
        <w:pStyle w:val="Heading1"/>
      </w:pPr>
      <w:r>
        <w:t xml:space="preserve">KMI Earnings Predictions — 2026-07-22</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KMI</w:t>
            </w:r>
          </w:p>
        </w:tc>
        <w:tc>
          <w:tcPr/>
          <w:p>
            <w:pPr>
              <w:pStyle w:val="Compact"/>
            </w:pPr>
            <w:r>
              <w:t xml:space="preserve">Report</w:t>
            </w:r>
          </w:p>
        </w:tc>
        <w:tc>
          <w:tcPr/>
          <w:p>
            <w:pPr>
              <w:pStyle w:val="Compact"/>
            </w:pPr>
            <w:r>
              <w:t xml:space="preserve">Adjusted EPS</w:t>
            </w:r>
          </w:p>
        </w:tc>
        <w:tc>
          <w:tcPr/>
          <w:p>
            <w:pPr>
              <w:pStyle w:val="Compact"/>
            </w:pPr>
            <w:r>
              <w:t xml:space="preserve">BEAT</w:t>
            </w:r>
          </w:p>
        </w:tc>
        <w:tc>
          <w:tcPr/>
          <w:p>
            <w:pPr>
              <w:pStyle w:val="Compact"/>
            </w:pPr>
            <w:r>
              <w:t xml:space="preserve">pred ~$0.32 vs. cons $0.31</w:t>
            </w:r>
          </w:p>
        </w:tc>
        <w:tc>
          <w:tcPr/>
          <w:p>
            <w:pPr>
              <w:pStyle w:val="Compact"/>
            </w:pPr>
            <w:r>
              <w:t xml:space="preserve">MEDIUM</w:t>
            </w:r>
          </w:p>
        </w:tc>
      </w:tr>
      <w:tr>
        <w:tc>
          <w:tcPr/>
          <w:p>
            <w:pPr>
              <w:pStyle w:val="Compact"/>
            </w:pPr>
            <w:r>
              <w:t xml:space="preserve">KMI</w:t>
            </w:r>
          </w:p>
        </w:tc>
        <w:tc>
          <w:tcPr/>
          <w:p>
            <w:pPr>
              <w:pStyle w:val="Compact"/>
            </w:pPr>
            <w:r>
              <w:t xml:space="preserve">Report</w:t>
            </w:r>
          </w:p>
        </w:tc>
        <w:tc>
          <w:tcPr/>
          <w:p>
            <w:pPr>
              <w:pStyle w:val="Compact"/>
            </w:pPr>
            <w:r>
              <w:t xml:space="preserve">Adjusted EBITDA</w:t>
            </w:r>
          </w:p>
        </w:tc>
        <w:tc>
          <w:tcPr/>
          <w:p>
            <w:pPr>
              <w:pStyle w:val="Compact"/>
            </w:pPr>
            <w:r>
              <w:t xml:space="preserve">BEAT</w:t>
            </w:r>
          </w:p>
        </w:tc>
        <w:tc>
          <w:tcPr/>
          <w:p>
            <w:pPr>
              <w:pStyle w:val="Compact"/>
            </w:pPr>
            <w:r>
              <w:t xml:space="preserve">pred ~$2.15B vs. cons $2.10B</w:t>
            </w:r>
          </w:p>
        </w:tc>
        <w:tc>
          <w:tcPr/>
          <w:p>
            <w:pPr>
              <w:pStyle w:val="Compact"/>
            </w:pPr>
            <w:r>
              <w:t xml:space="preserve">MEDIUM</w:t>
            </w:r>
          </w:p>
        </w:tc>
      </w:tr>
      <w:tr>
        <w:tc>
          <w:tcPr/>
          <w:p>
            <w:pPr>
              <w:pStyle w:val="Compact"/>
            </w:pPr>
            <w:r>
              <w:t xml:space="preserve">KMI</w:t>
            </w:r>
          </w:p>
        </w:tc>
        <w:tc>
          <w:tcPr/>
          <w:p>
            <w:pPr>
              <w:pStyle w:val="Compact"/>
            </w:pPr>
            <w:r>
              <w:t xml:space="preserve">Report</w:t>
            </w:r>
          </w:p>
        </w:tc>
        <w:tc>
          <w:tcPr/>
          <w:p>
            <w:pPr>
              <w:pStyle w:val="Compact"/>
            </w:pPr>
            <w:r>
              <w:t xml:space="preserve">Revenue</w:t>
            </w:r>
          </w:p>
        </w:tc>
        <w:tc>
          <w:tcPr/>
          <w:p>
            <w:pPr>
              <w:pStyle w:val="Compact"/>
            </w:pPr>
            <w:r>
              <w:t xml:space="preserve">IN-LINE</w:t>
            </w:r>
          </w:p>
        </w:tc>
        <w:tc>
          <w:tcPr/>
          <w:p>
            <w:pPr>
              <w:pStyle w:val="Compact"/>
            </w:pPr>
            <w:r>
              <w:t xml:space="preserve">pred ~$4.25B vs. cons $4.29B</w:t>
            </w:r>
          </w:p>
        </w:tc>
        <w:tc>
          <w:tcPr/>
          <w:p>
            <w:pPr>
              <w:pStyle w:val="Compact"/>
            </w:pPr>
            <w:r>
              <w:t xml:space="preserve">LOW</w:t>
            </w:r>
          </w:p>
        </w:tc>
      </w:tr>
      <w:tr>
        <w:tc>
          <w:tcPr/>
          <w:p>
            <w:pPr>
              <w:pStyle w:val="Compact"/>
            </w:pPr>
            <w:r>
              <w:t xml:space="preserve">KMI</w:t>
            </w:r>
          </w:p>
        </w:tc>
        <w:tc>
          <w:tcPr/>
          <w:p>
            <w:pPr>
              <w:pStyle w:val="Compact"/>
            </w:pPr>
            <w:r>
              <w:t xml:space="preserve">Guide</w:t>
            </w:r>
          </w:p>
        </w:tc>
        <w:tc>
          <w:tcPr/>
          <w:p>
            <w:pPr>
              <w:pStyle w:val="Compact"/>
            </w:pPr>
            <w:r>
              <w:t xml:space="preserve">FY2026 Adjusted EBITDA (vs. budget/consensus)</w:t>
            </w:r>
          </w:p>
        </w:tc>
        <w:tc>
          <w:tcPr/>
          <w:p>
            <w:pPr>
              <w:pStyle w:val="Compact"/>
            </w:pPr>
            <w:r>
              <w:t xml:space="preserve">BETTER</w:t>
            </w:r>
          </w:p>
        </w:tc>
        <w:tc>
          <w:tcPr/>
          <w:p>
            <w:pPr>
              <w:pStyle w:val="Compact"/>
            </w:pPr>
            <w:r>
              <w:t xml:space="preserve">guide ~$8.85B vs. cons $8.75B (FY2026)</w:t>
            </w:r>
          </w:p>
        </w:tc>
        <w:tc>
          <w:tcPr/>
          <w:p>
            <w:pPr>
              <w:pStyle w:val="Compact"/>
            </w:pPr>
            <w:r>
              <w:t xml:space="preserve">MEDIUM</w:t>
            </w:r>
          </w:p>
        </w:tc>
      </w:tr>
      <w:tr>
        <w:tc>
          <w:tcPr/>
          <w:p>
            <w:pPr>
              <w:pStyle w:val="Compact"/>
            </w:pPr>
            <w:r>
              <w:t xml:space="preserve">KMI</w:t>
            </w:r>
          </w:p>
        </w:tc>
        <w:tc>
          <w:tcPr/>
          <w:p>
            <w:pPr>
              <w:pStyle w:val="Compact"/>
            </w:pPr>
            <w:r>
              <w:t xml:space="preserve">Guide</w:t>
            </w:r>
          </w:p>
        </w:tc>
        <w:tc>
          <w:tcPr/>
          <w:p>
            <w:pPr>
              <w:pStyle w:val="Compact"/>
            </w:pPr>
            <w:r>
              <w:t xml:space="preserve">FY2026 Year-end Net Debt/Adj. EBITDA leverage</w:t>
            </w:r>
          </w:p>
        </w:tc>
        <w:tc>
          <w:tcPr/>
          <w:p>
            <w:pPr>
              <w:pStyle w:val="Compact"/>
            </w:pPr>
            <w:r>
              <w:t xml:space="preserve">BETTER</w:t>
            </w:r>
          </w:p>
        </w:tc>
        <w:tc>
          <w:tcPr/>
          <w:p>
            <w:pPr>
              <w:pStyle w:val="Compact"/>
            </w:pPr>
            <w:r>
              <w:t xml:space="preserve">guide ~3.6x-3.7x vs. cons/budget 3.8x (FY2026 year-end)</w:t>
            </w:r>
          </w:p>
        </w:tc>
        <w:tc>
          <w:tcPr/>
          <w:p>
            <w:pPr>
              <w:pStyle w:val="Compact"/>
            </w:pPr>
            <w:r>
              <w:t xml:space="preserve">MEDIUM</w:t>
            </w:r>
          </w:p>
        </w:tc>
      </w:tr>
      <w:tr>
        <w:tc>
          <w:tcPr/>
          <w:p>
            <w:pPr>
              <w:pStyle w:val="Compact"/>
            </w:pPr>
            <w:r>
              <w:t xml:space="preserve">KMI</w:t>
            </w:r>
          </w:p>
        </w:tc>
        <w:tc>
          <w:tcPr/>
          <w:p>
            <w:pPr>
              <w:pStyle w:val="Compact"/>
            </w:pPr>
            <w:r>
              <w:t xml:space="preserve">Guide</w:t>
            </w:r>
          </w:p>
        </w:tc>
        <w:tc>
          <w:tcPr/>
          <w:p>
            <w:pPr>
              <w:pStyle w:val="Compact"/>
            </w:pPr>
            <w:r>
              <w:t xml:space="preserve">Project backlog (incl. Monument/shadow-backlog adds)</w:t>
            </w:r>
          </w:p>
        </w:tc>
        <w:tc>
          <w:tcPr/>
          <w:p>
            <w:pPr>
              <w:pStyle w:val="Compact"/>
            </w:pPr>
            <w:r>
              <w:t xml:space="preserve">BETTER</w:t>
            </w:r>
          </w:p>
        </w:tc>
        <w:tc>
          <w:tcPr/>
          <w:p>
            <w:pPr>
              <w:pStyle w:val="Compact"/>
            </w:pPr>
            <w:r>
              <w:t xml:space="preserve">guide ~$10.5B vs. prior $10.1B (Q2 2026 update)</w:t>
            </w:r>
          </w:p>
        </w:tc>
        <w:tc>
          <w:tcPr/>
          <w:p>
            <w:pPr>
              <w:pStyle w:val="Compact"/>
            </w:pPr>
            <w:r>
              <w:t xml:space="preserve">LOW</w:t>
            </w:r>
          </w:p>
        </w:tc>
      </w:tr>
      <w:tr>
        <w:tc>
          <w:tcPr/>
          <w:p>
            <w:pPr>
              <w:pStyle w:val="Compact"/>
            </w:pPr>
            <w:r>
              <w:t xml:space="preserve">KMI</w:t>
            </w:r>
          </w:p>
        </w:tc>
        <w:tc>
          <w:tcPr/>
          <w:p>
            <w:pPr>
              <w:pStyle w:val="Compact"/>
            </w:pPr>
            <w:r>
              <w:t xml:space="preserve">Guide</w:t>
            </w:r>
          </w:p>
        </w:tc>
        <w:tc>
          <w:tcPr/>
          <w:p>
            <w:pPr>
              <w:pStyle w:val="Compact"/>
            </w:pPr>
            <w:r>
              <w:t xml:space="preserve">FERC decision on SSE4/MSX (~$5.2B combined)</w:t>
            </w:r>
          </w:p>
        </w:tc>
        <w:tc>
          <w:tcPr/>
          <w:p>
            <w:pPr>
              <w:pStyle w:val="Compact"/>
            </w:pPr>
            <w:r>
              <w:t xml:space="preserve">UNKNOWN</w:t>
            </w:r>
          </w:p>
        </w:tc>
        <w:tc>
          <w:tcPr/>
          <w:p>
            <w:pPr>
              <w:pStyle w:val="Compact"/>
            </w:pPr>
            <w:r>
              <w:t xml:space="preserve">guide ~decision by 7/31/26 vs. cons 7/31/26 (near-term catalyst)</w:t>
            </w:r>
          </w:p>
        </w:tc>
        <w:tc>
          <w:tcPr/>
          <w:p>
            <w:pPr>
              <w:pStyle w:val="Compact"/>
            </w:pPr>
            <w:r>
              <w:t xml:space="preserve">LOW</w:t>
            </w:r>
          </w:p>
        </w:tc>
      </w:tr>
      <w:tr>
        <w:tc>
          <w:tcPr/>
          <w:p>
            <w:pPr>
              <w:pStyle w:val="Compact"/>
            </w:pPr>
            <w:r>
              <w:t xml:space="preserve">KMI</w:t>
            </w:r>
          </w:p>
        </w:tc>
        <w:tc>
          <w:tcPr/>
          <w:p>
            <w:pPr>
              <w:pStyle w:val="Compact"/>
            </w:pPr>
            <w:r>
              <w:t xml:space="preserve">Return</w:t>
            </w:r>
          </w:p>
        </w:tc>
        <w:tc>
          <w:tcPr/>
          <w:p>
            <w:pPr>
              <w:pStyle w:val="Compact"/>
            </w:pPr>
            <w:r>
              <w:t xml:space="preserve">Day-1 residual (stock − beta × S&amp;P 500)</w:t>
            </w:r>
          </w:p>
        </w:tc>
        <w:tc>
          <w:tcPr/>
          <w:p>
            <w:pPr>
              <w:pStyle w:val="Compact"/>
            </w:pPr>
            <w:r>
              <w:t xml:space="preserve">+0.4%</w:t>
            </w:r>
          </w:p>
        </w:tc>
        <w:tc>
          <w:tcPr/>
          <w:p>
            <w:pPr>
              <w:pStyle w:val="Compact"/>
            </w:pPr>
            <w:r>
              <w:t xml:space="preserve">—</w:t>
            </w:r>
          </w:p>
        </w:tc>
        <w:tc>
          <w:tcPr/>
          <w:p>
            <w:pPr>
              <w:pStyle w:val="Compact"/>
            </w:pPr>
            <w:r>
              <w:t xml:space="preserve">MEDIUM</w:t>
            </w:r>
          </w:p>
        </w:tc>
      </w:tr>
      <w:tr>
        <w:tc>
          <w:tcPr/>
          <w:p>
            <w:pPr>
              <w:pStyle w:val="Compact"/>
            </w:pPr>
            <w:r>
              <w:t xml:space="preserve">KMI</w:t>
            </w:r>
          </w:p>
        </w:tc>
        <w:tc>
          <w:tcPr/>
          <w:p>
            <w:pPr>
              <w:pStyle w:val="Compact"/>
            </w:pPr>
            <w:r>
              <w:t xml:space="preserve">Return</w:t>
            </w:r>
          </w:p>
        </w:tc>
        <w:tc>
          <w:tcPr/>
          <w:p>
            <w:pPr>
              <w:pStyle w:val="Compact"/>
            </w:pPr>
            <w:r>
              <w:t xml:space="preserve">5-day cumulative residual</w:t>
            </w:r>
          </w:p>
        </w:tc>
        <w:tc>
          <w:tcPr/>
          <w:p>
            <w:pPr>
              <w:pStyle w:val="Compact"/>
            </w:pPr>
            <w:r>
              <w:t xml:space="preserve">-0.6% (FADE)</w:t>
            </w:r>
          </w:p>
        </w:tc>
        <w:tc>
          <w:tcPr/>
          <w:p>
            <w:pPr>
              <w:pStyle w:val="Compact"/>
            </w:pPr>
            <w:r>
              <w:t xml:space="preserve">Q1's outsized 41% EPS growth was explicitly flagged by management as weather/storm-driven (Storm Fern, Northeast cold) rather than a structural step-change; Q2 lacks that tailwind, so even a modest EPS/EBITDA beat vs. Q2 consensus is likely to be read against the tougher 2H comp. Analysts who extrapolated Q1's &gt;3%-above-budget pace into FY estimates will likely trim out-quarter (Q3/Q4) EBITDA and EPS forecasts back toward the original budget cadence once Q2 confirms normalization, pulling the average estimate down over the following days even if the print itself beats. Leverage improvement and Monument/backlog additions provide a partial offset preventing a sharper fade, and unresolved FERC timing (SSE4/MSX due ~7/31) adds two-sided event risk that could interrupt any post-print drift.</w:t>
            </w:r>
          </w:p>
        </w:tc>
        <w:tc>
          <w:tcPr/>
          <w:p>
            <w:pPr>
              <w:pStyle w:val="Compact"/>
            </w:pPr>
            <w:r>
              <w:t xml:space="preserve">MEDIUM</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2026-07-22T00:29:59Z</dcterms:created>
  <dcterms:modified xsi:type="dcterms:W3CDTF">2026-07-22T00:29:59Z</dcterms:modified>
</cp:coreProperties>
</file>

<file path=docProps/custom.xml><?xml version="1.0" encoding="utf-8"?>
<Properties xmlns="http://schemas.openxmlformats.org/officeDocument/2006/custom-properties" xmlns:vt="http://schemas.openxmlformats.org/officeDocument/2006/docPropsVTypes"/>
</file>