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i-earnings-predictions--2026-07-22"/>
    <w:p>
      <w:pPr>
        <w:pStyle w:val="Heading1"/>
      </w:pPr>
      <w:r>
        <w:t xml:space="preserve">KMI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~$2.08B vs. cons $2.05B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Natural Gas Pipelines segment EBDA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~$1.46B vs. cons $1.43B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~$8.90B vs. cons $8.92B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~$1.39 vs. cons $1.40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net debt/adjusted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~3.7x vs. cons 3.7x (year-end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Project 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guide/commentary ~$10.4B vs. prior $10.1B (Q2 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-2.1% (FOLLOW-THROUGH)</w:t>
            </w:r>
          </w:p>
        </w:tc>
        <w:tc>
          <w:tcPr/>
          <w:p>
            <w:pPr>
              <w:pStyle w:val="Compact"/>
            </w:pPr>
            <w:r>
              <w:t xml:space="preserve">Quarterly beats are likely offset by an implicit out-period cut: holding FY2026 adjusted EBITDA near ~</w:t>
            </w:r>
            <m:oMath>
              <m:r>
                <m:t>8.90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8.92B after a ~$30M Q2 beat lowers implied H2 estimates, driving modest negative revisions and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2026-07-22T00:31:00Z</dcterms:created>
  <dcterms:modified xsi:type="dcterms:W3CDTF">2026-07-22T00:31:00Z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